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EC318D" w:rsidRDefault="001A058F" w:rsidP="001A0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18D">
        <w:rPr>
          <w:bCs/>
          <w:sz w:val="28"/>
          <w:szCs w:val="28"/>
        </w:rPr>
        <w:t>ПРАВИТЕЛЬСТВО ЛЕНИНГРАДСКОЙ ОБЛАСТИ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18D">
        <w:rPr>
          <w:b/>
          <w:bCs/>
          <w:sz w:val="28"/>
          <w:szCs w:val="28"/>
        </w:rPr>
        <w:t>ПОСТАНОВЛЕНИЕ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 от «      » ___________ 20</w:t>
      </w:r>
      <w:r w:rsidR="00195C1F" w:rsidRPr="00EC318D">
        <w:rPr>
          <w:sz w:val="28"/>
          <w:szCs w:val="28"/>
        </w:rPr>
        <w:t>21</w:t>
      </w:r>
      <w:r w:rsidRPr="00EC318D">
        <w:rPr>
          <w:sz w:val="28"/>
          <w:szCs w:val="28"/>
        </w:rPr>
        <w:t xml:space="preserve"> года  №________</w:t>
      </w:r>
    </w:p>
    <w:p w:rsidR="004401B4" w:rsidRPr="00EC318D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251A2" w:rsidRDefault="007760D9" w:rsidP="005251A2">
      <w:pPr>
        <w:pStyle w:val="ConsPlusTitle"/>
        <w:jc w:val="center"/>
        <w:rPr>
          <w:sz w:val="28"/>
          <w:szCs w:val="28"/>
        </w:rPr>
      </w:pPr>
      <w:proofErr w:type="gramStart"/>
      <w:r w:rsidRPr="00EC318D">
        <w:rPr>
          <w:sz w:val="28"/>
          <w:szCs w:val="28"/>
        </w:rPr>
        <w:t xml:space="preserve">О внесении изменений </w:t>
      </w:r>
      <w:r w:rsidR="00D5643D" w:rsidRPr="00EC318D">
        <w:rPr>
          <w:sz w:val="28"/>
          <w:szCs w:val="28"/>
        </w:rPr>
        <w:t xml:space="preserve">в распределение объемов </w:t>
      </w:r>
      <w:r w:rsidR="005B1A22" w:rsidRPr="00EC318D">
        <w:rPr>
          <w:sz w:val="28"/>
          <w:szCs w:val="28"/>
        </w:rPr>
        <w:t>субвенций между бюджетами муниципальных образований Ленинградской</w:t>
      </w:r>
      <w:r w:rsidR="00EC318D" w:rsidRPr="00EC318D">
        <w:rPr>
          <w:sz w:val="28"/>
          <w:szCs w:val="28"/>
        </w:rPr>
        <w:t xml:space="preserve"> </w:t>
      </w:r>
      <w:r w:rsidR="005B1A22" w:rsidRPr="00EC318D">
        <w:rPr>
          <w:sz w:val="28"/>
          <w:szCs w:val="28"/>
        </w:rPr>
        <w:t xml:space="preserve">области </w:t>
      </w:r>
      <w:r w:rsidR="005251A2" w:rsidRPr="005251A2">
        <w:rPr>
          <w:sz w:val="28"/>
          <w:szCs w:val="28"/>
        </w:rPr>
        <w:t>на осуществление отдельных государственных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полномочий Ленинградской области по организации</w:t>
      </w:r>
      <w:proofErr w:type="gramEnd"/>
      <w:r w:rsidR="005251A2" w:rsidRPr="005251A2">
        <w:rPr>
          <w:sz w:val="28"/>
          <w:szCs w:val="28"/>
        </w:rPr>
        <w:t xml:space="preserve"> бесплатного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горячего питания обучающихся, получающих начальное общее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образование в государственных и муниципальных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образовательных организациях, на 2021 год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и на плановый </w:t>
      </w:r>
    </w:p>
    <w:p w:rsidR="005251A2" w:rsidRPr="005251A2" w:rsidRDefault="005251A2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</w:p>
    <w:p w:rsidR="00EC318D" w:rsidRDefault="00EC318D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A06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EC318D">
        <w:rPr>
          <w:b w:val="0"/>
          <w:sz w:val="28"/>
          <w:szCs w:val="28"/>
        </w:rPr>
        <w:t xml:space="preserve">В соответствии с пунктом 5 статьи 9 Федерального закона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EC318D"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EC318D">
        <w:rPr>
          <w:b w:val="0"/>
          <w:sz w:val="28"/>
          <w:szCs w:val="28"/>
        </w:rPr>
        <w:t xml:space="preserve"> в 2021 году»  </w:t>
      </w:r>
      <w:r w:rsidR="00653A06" w:rsidRPr="00EC318D">
        <w:rPr>
          <w:b w:val="0"/>
          <w:sz w:val="28"/>
          <w:szCs w:val="28"/>
        </w:rPr>
        <w:t>Правительство Ленинградской области постановляет:</w:t>
      </w: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Pr="001C0CBB" w:rsidRDefault="00EC318D" w:rsidP="005251A2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1C0CBB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субвенций бюджетам муниципальных образований Ленинградской области </w:t>
      </w:r>
      <w:r w:rsidR="005251A2" w:rsidRPr="001C0CBB">
        <w:rPr>
          <w:b w:val="0"/>
          <w:sz w:val="28"/>
          <w:szCs w:val="28"/>
        </w:rPr>
        <w:t>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2021 год и на плановый период 2022 и 2023 годов</w:t>
      </w:r>
      <w:r w:rsidRPr="001C0CBB">
        <w:rPr>
          <w:b w:val="0"/>
          <w:sz w:val="28"/>
          <w:szCs w:val="28"/>
        </w:rPr>
        <w:t>, утвержденное приложением</w:t>
      </w:r>
      <w:r w:rsidR="00B57DBF" w:rsidRPr="001C0CBB">
        <w:rPr>
          <w:b w:val="0"/>
          <w:sz w:val="28"/>
          <w:szCs w:val="28"/>
        </w:rPr>
        <w:t xml:space="preserve"> </w:t>
      </w:r>
      <w:r w:rsidRPr="001C0CBB">
        <w:rPr>
          <w:b w:val="0"/>
          <w:sz w:val="28"/>
          <w:szCs w:val="28"/>
        </w:rPr>
        <w:t xml:space="preserve">16 (таблица </w:t>
      </w:r>
      <w:r w:rsidR="005251A2" w:rsidRPr="001C0CBB">
        <w:rPr>
          <w:b w:val="0"/>
          <w:sz w:val="28"/>
          <w:szCs w:val="28"/>
        </w:rPr>
        <w:t>31</w:t>
      </w:r>
      <w:r w:rsidRPr="001C0CBB">
        <w:rPr>
          <w:b w:val="0"/>
          <w:sz w:val="28"/>
          <w:szCs w:val="28"/>
        </w:rPr>
        <w:t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 w:rsidRPr="001C0CBB">
        <w:rPr>
          <w:b w:val="0"/>
          <w:sz w:val="28"/>
          <w:szCs w:val="28"/>
        </w:rPr>
        <w:t xml:space="preserve"> в части 2021 года</w:t>
      </w:r>
      <w:r w:rsidR="00B57DBF" w:rsidRPr="001C0CBB">
        <w:rPr>
          <w:b w:val="0"/>
          <w:sz w:val="28"/>
          <w:szCs w:val="28"/>
        </w:rPr>
        <w:t>.</w:t>
      </w:r>
    </w:p>
    <w:p w:rsidR="005F4355" w:rsidRPr="005251A2" w:rsidRDefault="005F4355" w:rsidP="005251A2">
      <w:pPr>
        <w:pStyle w:val="ConsPlusTitle"/>
        <w:ind w:left="142" w:firstLine="709"/>
        <w:jc w:val="both"/>
        <w:rPr>
          <w:b w:val="0"/>
          <w:sz w:val="28"/>
          <w:szCs w:val="28"/>
        </w:rPr>
      </w:pPr>
    </w:p>
    <w:p w:rsidR="00EC318D" w:rsidRPr="005251A2" w:rsidRDefault="00EC318D" w:rsidP="005251A2">
      <w:pPr>
        <w:pStyle w:val="afa"/>
        <w:numPr>
          <w:ilvl w:val="0"/>
          <w:numId w:val="1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bidi="ne-NP"/>
        </w:rPr>
      </w:pPr>
      <w:proofErr w:type="gramStart"/>
      <w:r w:rsidRPr="005251A2">
        <w:rPr>
          <w:sz w:val="28"/>
          <w:szCs w:val="28"/>
          <w:lang w:bidi="ne-NP"/>
        </w:rPr>
        <w:t>Контроль за</w:t>
      </w:r>
      <w:proofErr w:type="gramEnd"/>
      <w:r w:rsidRPr="005251A2">
        <w:rPr>
          <w:sz w:val="28"/>
          <w:szCs w:val="28"/>
          <w:lang w:bidi="ne-NP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EC318D" w:rsidRPr="00EC318D" w:rsidRDefault="00EC318D" w:rsidP="00EC318D">
      <w:pPr>
        <w:pStyle w:val="ConsPlusTitle"/>
        <w:jc w:val="center"/>
        <w:rPr>
          <w:sz w:val="28"/>
          <w:szCs w:val="28"/>
        </w:rPr>
      </w:pPr>
    </w:p>
    <w:p w:rsidR="00653A06" w:rsidRPr="00C94AAA" w:rsidRDefault="00653A06" w:rsidP="00653A06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8"/>
          <w:szCs w:val="28"/>
        </w:rPr>
      </w:pPr>
    </w:p>
    <w:p w:rsidR="0020554F" w:rsidRPr="00EB2109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EB2109" w:rsidRDefault="00653A06" w:rsidP="00653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Губернатор</w:t>
      </w:r>
    </w:p>
    <w:p w:rsidR="000C01F6" w:rsidRPr="00EB2109" w:rsidRDefault="00653A06" w:rsidP="0020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Ленинградской области</w:t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  <w:t xml:space="preserve">      </w:t>
      </w:r>
      <w:r w:rsidRPr="00EB2109">
        <w:rPr>
          <w:sz w:val="28"/>
          <w:szCs w:val="28"/>
        </w:rPr>
        <w:t>А.Ю. Дрозденко</w:t>
      </w:r>
    </w:p>
    <w:p w:rsidR="00EC318D" w:rsidRDefault="00EC318D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p w:rsidR="005E6801" w:rsidRDefault="005E68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___.___.2021 № ______</w:t>
      </w: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FF0E95" w:rsidRPr="005251A2" w:rsidRDefault="00FF0E95" w:rsidP="009D7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1A2">
        <w:rPr>
          <w:b/>
          <w:sz w:val="28"/>
          <w:szCs w:val="28"/>
        </w:rPr>
        <w:t>ИЗМЕНЕНИЯ</w:t>
      </w:r>
      <w:r w:rsidR="005F4355" w:rsidRPr="005251A2">
        <w:rPr>
          <w:b/>
          <w:sz w:val="28"/>
          <w:szCs w:val="28"/>
        </w:rPr>
        <w:t xml:space="preserve">, </w:t>
      </w:r>
    </w:p>
    <w:p w:rsidR="005251A2" w:rsidRDefault="005F4355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которые вносятся</w:t>
      </w:r>
      <w:r w:rsidR="009D7F31" w:rsidRPr="005251A2">
        <w:rPr>
          <w:sz w:val="28"/>
          <w:szCs w:val="28"/>
        </w:rPr>
        <w:t xml:space="preserve"> в распределение объемов субвенций между бюджетами муниципальных образований Ленинградской области </w:t>
      </w:r>
      <w:r w:rsidR="005251A2" w:rsidRPr="005251A2">
        <w:rPr>
          <w:sz w:val="28"/>
          <w:szCs w:val="28"/>
        </w:rPr>
        <w:t>на осуществление отдельных государственных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полномочий Ленинградской области по организации бесплатного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горячего питания обучающихся, получающих начальное общее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образование в государственных и муниципальных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образовательных организациях, на 2021 год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и </w:t>
      </w:r>
      <w:proofErr w:type="gramStart"/>
      <w:r w:rsidR="005251A2" w:rsidRPr="005251A2">
        <w:rPr>
          <w:sz w:val="28"/>
          <w:szCs w:val="28"/>
        </w:rPr>
        <w:t>на</w:t>
      </w:r>
      <w:proofErr w:type="gramEnd"/>
      <w:r w:rsidR="005251A2" w:rsidRPr="005251A2">
        <w:rPr>
          <w:sz w:val="28"/>
          <w:szCs w:val="28"/>
        </w:rPr>
        <w:t xml:space="preserve"> плановый </w:t>
      </w:r>
    </w:p>
    <w:p w:rsidR="009D7F31" w:rsidRPr="005251A2" w:rsidRDefault="005251A2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</w:p>
    <w:p w:rsidR="009D7F31" w:rsidRDefault="009D7F31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119"/>
      </w:tblGrid>
      <w:tr w:rsidR="005F4355" w:rsidTr="005F4355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EB2109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 xml:space="preserve">N </w:t>
            </w:r>
            <w:proofErr w:type="gramStart"/>
            <w:r w:rsidRPr="00EB2109">
              <w:t>п</w:t>
            </w:r>
            <w:proofErr w:type="gramEnd"/>
            <w:r w:rsidRPr="00EB2109"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5" w:rsidRPr="00733C1B" w:rsidRDefault="005F4355" w:rsidP="00A444DC">
            <w:pPr>
              <w:autoSpaceDE w:val="0"/>
              <w:autoSpaceDN w:val="0"/>
              <w:adjustRightInd w:val="0"/>
              <w:jc w:val="center"/>
            </w:pPr>
            <w:r w:rsidRPr="00733C1B">
              <w:t>Наименование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A2" w:rsidRDefault="005F4355" w:rsidP="005251A2">
            <w:pPr>
              <w:jc w:val="center"/>
            </w:pPr>
            <w:r>
              <w:t>Сумма  на 2021 год</w:t>
            </w:r>
            <w:r w:rsidR="005251A2">
              <w:t xml:space="preserve"> </w:t>
            </w:r>
          </w:p>
          <w:p w:rsidR="005F4355" w:rsidRDefault="005251A2" w:rsidP="005251A2">
            <w:pPr>
              <w:jc w:val="center"/>
            </w:pPr>
            <w:r>
              <w:t>(</w:t>
            </w:r>
            <w:r w:rsidR="005F4355">
              <w:t>тысяч рублей</w:t>
            </w:r>
            <w:r>
              <w:t>)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Бокситогорский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28 340,3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2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Волосовский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29 816,9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3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Волховский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49 194,7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4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Всеволожский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356 390,0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5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Выборгский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121 314,3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6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Гатчинский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150 148,7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7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Кингисеппский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55 056,8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8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Киришский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54 777,2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9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Кировский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70 309,7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10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Лодейнопольский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17 698,5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11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Ломоносовский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51 358,9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12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Лужский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42 058,4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13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Подпорожский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20 150,1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14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Приозерский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36 723,4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15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Сланцевский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51A2" w:rsidRPr="005251A2" w:rsidRDefault="005251A2" w:rsidP="005251A2">
            <w:pPr>
              <w:jc w:val="center"/>
              <w:outlineLvl w:val="0"/>
            </w:pPr>
            <w:r w:rsidRPr="005251A2">
              <w:t>24 664,3</w:t>
            </w:r>
          </w:p>
        </w:tc>
      </w:tr>
      <w:tr w:rsidR="00C44175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EB2109" w:rsidRDefault="00C4417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16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733C1B" w:rsidRDefault="00C44175" w:rsidP="00A444DC">
            <w:pPr>
              <w:autoSpaceDE w:val="0"/>
              <w:autoSpaceDN w:val="0"/>
              <w:adjustRightInd w:val="0"/>
            </w:pPr>
            <w:r w:rsidRPr="00733C1B">
              <w:t>Тихвинский муниципальный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C44175" w:rsidRDefault="00C44175" w:rsidP="00C44175">
            <w:pPr>
              <w:jc w:val="center"/>
              <w:outlineLvl w:val="0"/>
            </w:pPr>
            <w:r w:rsidRPr="00C44175">
              <w:t>50 318,8</w:t>
            </w:r>
          </w:p>
        </w:tc>
      </w:tr>
      <w:tr w:rsidR="00C44175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EB2109" w:rsidRDefault="00C44175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17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733C1B" w:rsidRDefault="00C44175" w:rsidP="00A444DC">
            <w:pPr>
              <w:autoSpaceDE w:val="0"/>
              <w:autoSpaceDN w:val="0"/>
              <w:adjustRightInd w:val="0"/>
            </w:pPr>
            <w:r w:rsidRPr="00733C1B">
              <w:t>Тосненский район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4175" w:rsidRPr="00C44175" w:rsidRDefault="00C44175" w:rsidP="00C44175">
            <w:pPr>
              <w:jc w:val="center"/>
              <w:outlineLvl w:val="0"/>
            </w:pPr>
            <w:r w:rsidRPr="00C44175">
              <w:t>84 377,8</w:t>
            </w:r>
          </w:p>
        </w:tc>
      </w:tr>
      <w:tr w:rsidR="005251A2" w:rsidTr="001C3866">
        <w:trPr>
          <w:trHeight w:val="17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18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Сосновоборский городской округ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2" w:rsidRPr="00C44175" w:rsidRDefault="00C44175" w:rsidP="00C44175">
            <w:pPr>
              <w:jc w:val="center"/>
              <w:outlineLvl w:val="0"/>
            </w:pPr>
            <w:r w:rsidRPr="00C44175">
              <w:t>47 709,6</w:t>
            </w:r>
          </w:p>
        </w:tc>
      </w:tr>
      <w:tr w:rsidR="005251A2" w:rsidTr="005F4355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2" w:rsidRPr="00EB2109" w:rsidRDefault="005251A2" w:rsidP="00A444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2" w:rsidRPr="00733C1B" w:rsidRDefault="005251A2" w:rsidP="00A444DC">
            <w:pPr>
              <w:autoSpaceDE w:val="0"/>
              <w:autoSpaceDN w:val="0"/>
              <w:adjustRightInd w:val="0"/>
            </w:pPr>
            <w:r w:rsidRPr="00733C1B"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A2" w:rsidRPr="005251A2" w:rsidRDefault="005251A2" w:rsidP="005251A2">
            <w:pPr>
              <w:jc w:val="center"/>
              <w:outlineLvl w:val="0"/>
              <w:rPr>
                <w:b/>
                <w:bCs/>
              </w:rPr>
            </w:pPr>
            <w:r w:rsidRPr="005251A2">
              <w:rPr>
                <w:b/>
                <w:bCs/>
              </w:rPr>
              <w:t>1 290 408,4</w:t>
            </w:r>
          </w:p>
        </w:tc>
      </w:tr>
    </w:tbl>
    <w:p w:rsidR="000C01F6" w:rsidRDefault="000C01F6" w:rsidP="000C01F6">
      <w:pPr>
        <w:pStyle w:val="ConsPlusTitle"/>
        <w:jc w:val="center"/>
        <w:rPr>
          <w:sz w:val="28"/>
          <w:szCs w:val="28"/>
        </w:rPr>
      </w:pPr>
      <w:r w:rsidRPr="00C94AAA">
        <w:rPr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 xml:space="preserve">ПОЯСНИТЕЛЬНАЯ ЗАПИСКА </w:t>
      </w:r>
    </w:p>
    <w:p w:rsidR="00EB2109" w:rsidRPr="00EB2109" w:rsidRDefault="00EB2109" w:rsidP="000C01F6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5251A2" w:rsidRDefault="00EB2109" w:rsidP="005251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51A2" w:rsidRPr="00EC318D">
        <w:rPr>
          <w:sz w:val="28"/>
          <w:szCs w:val="28"/>
        </w:rPr>
        <w:t xml:space="preserve">О внесении изменений в распределение объемов субвенций между бюджетами муниципальных образований Ленинградской области </w:t>
      </w:r>
      <w:r w:rsidR="005251A2" w:rsidRPr="005251A2">
        <w:rPr>
          <w:sz w:val="28"/>
          <w:szCs w:val="28"/>
        </w:rPr>
        <w:t>на осуществление отдельных государственных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полномочий Ленинградской области по организации бесплатного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горячего питания обучающихся, получающих начальное общее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образование в государственных и муниципальных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>образовательных организациях, на 2021 год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и на плановый </w:t>
      </w:r>
    </w:p>
    <w:p w:rsidR="005251A2" w:rsidRPr="005251A2" w:rsidRDefault="005251A2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  <w:r>
        <w:rPr>
          <w:sz w:val="28"/>
          <w:szCs w:val="28"/>
        </w:rPr>
        <w:t>»</w:t>
      </w:r>
    </w:p>
    <w:p w:rsidR="00EB2109" w:rsidRPr="00EB2109" w:rsidRDefault="00EB2109" w:rsidP="00EB2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B07" w:rsidRPr="00C94AAA" w:rsidRDefault="00137B07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BC59DB" w:rsidRPr="00C94AAA" w:rsidRDefault="00BC59DB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2C02C9" w:rsidRPr="005E6801" w:rsidRDefault="000C01F6" w:rsidP="005E6801">
      <w:pPr>
        <w:pStyle w:val="ConsPlusTitle"/>
        <w:ind w:firstLine="851"/>
        <w:jc w:val="both"/>
        <w:rPr>
          <w:b w:val="0"/>
          <w:bCs w:val="0"/>
          <w:color w:val="FF0000"/>
          <w:sz w:val="28"/>
          <w:szCs w:val="28"/>
        </w:rPr>
      </w:pPr>
      <w:proofErr w:type="gramStart"/>
      <w:r w:rsidRPr="005E6801">
        <w:rPr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5E6801" w:rsidRPr="005E6801">
        <w:rPr>
          <w:b w:val="0"/>
          <w:sz w:val="28"/>
          <w:szCs w:val="28"/>
        </w:rPr>
        <w:t xml:space="preserve">«О внесении изменений в распределение объемов 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по организации бесплатного горячего питания </w:t>
      </w:r>
      <w:r w:rsidR="005E6801" w:rsidRPr="00787F68">
        <w:rPr>
          <w:b w:val="0"/>
          <w:sz w:val="28"/>
          <w:szCs w:val="28"/>
        </w:rPr>
        <w:t>обучающихся, получающих начальное общее образование в государственных и муниципальных образовательных организациях, на 2021 год и на плановый  период 2022 и 2023 годов»</w:t>
      </w:r>
      <w:r w:rsidR="005F4355" w:rsidRPr="00787F68">
        <w:rPr>
          <w:b w:val="0"/>
          <w:sz w:val="28"/>
          <w:szCs w:val="28"/>
        </w:rPr>
        <w:t xml:space="preserve"> в части 2021 года»</w:t>
      </w:r>
      <w:r w:rsidR="00F75B70" w:rsidRPr="00787F68">
        <w:rPr>
          <w:b w:val="0"/>
          <w:sz w:val="28"/>
          <w:szCs w:val="28"/>
        </w:rPr>
        <w:t xml:space="preserve"> </w:t>
      </w:r>
      <w:r w:rsidRPr="00787F68">
        <w:rPr>
          <w:b w:val="0"/>
          <w:sz w:val="28"/>
          <w:szCs w:val="28"/>
        </w:rPr>
        <w:t xml:space="preserve"> (далее – Проект постановления) подготовлен</w:t>
      </w:r>
      <w:proofErr w:type="gramEnd"/>
      <w:r w:rsidRPr="00787F68">
        <w:rPr>
          <w:b w:val="0"/>
          <w:sz w:val="28"/>
          <w:szCs w:val="28"/>
        </w:rPr>
        <w:t xml:space="preserve"> </w:t>
      </w:r>
      <w:proofErr w:type="gramStart"/>
      <w:r w:rsidR="00787F68" w:rsidRPr="00787F68">
        <w:rPr>
          <w:b w:val="0"/>
          <w:sz w:val="28"/>
          <w:szCs w:val="28"/>
        </w:rPr>
        <w:t>в связи с заключением  дополнительного соглашения к Соглашению между Министерством просвещения Российской Федерации и Правительством Ле</w:t>
      </w:r>
      <w:r w:rsidR="00787F68">
        <w:rPr>
          <w:b w:val="0"/>
          <w:sz w:val="28"/>
          <w:szCs w:val="28"/>
        </w:rPr>
        <w:t>н</w:t>
      </w:r>
      <w:r w:rsidR="00787F68" w:rsidRPr="00787F68">
        <w:rPr>
          <w:b w:val="0"/>
          <w:sz w:val="28"/>
          <w:szCs w:val="28"/>
        </w:rPr>
        <w:t xml:space="preserve">инградской области о предоставлении субсидий из федерального бюджета бюджету Ленинградской области на </w:t>
      </w:r>
      <w:proofErr w:type="spellStart"/>
      <w:r w:rsidR="00787F68" w:rsidRPr="00787F68">
        <w:rPr>
          <w:b w:val="0"/>
          <w:sz w:val="28"/>
          <w:szCs w:val="28"/>
        </w:rPr>
        <w:t>софинансирование</w:t>
      </w:r>
      <w:proofErr w:type="spellEnd"/>
      <w:r w:rsidR="00787F68" w:rsidRPr="00787F68">
        <w:rPr>
          <w:b w:val="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 в государственных образовательных организациях </w:t>
      </w:r>
      <w:r w:rsidR="00787F68">
        <w:rPr>
          <w:b w:val="0"/>
          <w:sz w:val="28"/>
          <w:szCs w:val="28"/>
        </w:rPr>
        <w:t>с</w:t>
      </w:r>
      <w:r w:rsidR="00787F68" w:rsidRPr="00787F68">
        <w:rPr>
          <w:b w:val="0"/>
          <w:sz w:val="28"/>
          <w:szCs w:val="28"/>
        </w:rPr>
        <w:t>убъекта Российской Федерации</w:t>
      </w:r>
      <w:proofErr w:type="gramEnd"/>
      <w:r w:rsidR="00787F68" w:rsidRPr="00787F68">
        <w:rPr>
          <w:b w:val="0"/>
          <w:sz w:val="28"/>
          <w:szCs w:val="28"/>
        </w:rPr>
        <w:t xml:space="preserve">  (</w:t>
      </w:r>
      <w:proofErr w:type="gramStart"/>
      <w:r w:rsidR="00787F68" w:rsidRPr="00787F68">
        <w:rPr>
          <w:b w:val="0"/>
          <w:sz w:val="28"/>
          <w:szCs w:val="28"/>
        </w:rPr>
        <w:t>муниципальных образовательных организациях) в рамках государственной программы Российской Федерации «Развитие образования» от 21.12.2020 № 073-09-2021-331</w:t>
      </w:r>
      <w:r w:rsidR="00787F68">
        <w:rPr>
          <w:b w:val="0"/>
          <w:sz w:val="28"/>
          <w:szCs w:val="28"/>
        </w:rPr>
        <w:t xml:space="preserve"> в части уменьшения бюджетных ассигнований на сумму экономии в результате проведения конкурсных процедур.</w:t>
      </w:r>
      <w:proofErr w:type="gramEnd"/>
    </w:p>
    <w:p w:rsidR="002C02C9" w:rsidRPr="00787F68" w:rsidRDefault="002C02C9" w:rsidP="002C02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87F68">
        <w:rPr>
          <w:bCs/>
          <w:sz w:val="28"/>
          <w:szCs w:val="28"/>
        </w:rPr>
        <w:t>В соответствии с пунктом 5 статьи 9 федерального закона от 15 октября 2020 года № 327-фз «</w:t>
      </w:r>
      <w:r w:rsidRPr="00787F68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установлено, что в 2021 году актами высшего исполнительного органа государственной власти субъекта Российской Федерации без внесения изменений в закон</w:t>
      </w:r>
      <w:proofErr w:type="gramEnd"/>
      <w:r w:rsidRPr="00787F68">
        <w:rPr>
          <w:sz w:val="28"/>
          <w:szCs w:val="28"/>
        </w:rPr>
        <w:t xml:space="preserve"> о бюджете субъекта Российской Федерации на текущий финансовый год и плановый период могут быть внесены изменения в распределение объемов субвенций между муниципальными образованиями.</w:t>
      </w:r>
    </w:p>
    <w:p w:rsidR="000C01F6" w:rsidRPr="005E6801" w:rsidRDefault="000C01F6" w:rsidP="00D566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6801">
        <w:rPr>
          <w:bCs/>
          <w:sz w:val="28"/>
          <w:szCs w:val="28"/>
        </w:rPr>
        <w:t>Проект постановления</w:t>
      </w:r>
      <w:r w:rsidRPr="005E6801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</w:t>
      </w:r>
      <w:r w:rsidRPr="005E6801">
        <w:rPr>
          <w:sz w:val="28"/>
          <w:szCs w:val="28"/>
        </w:rPr>
        <w:lastRenderedPageBreak/>
        <w:t>№</w:t>
      </w:r>
      <w:r w:rsidR="00D566B6" w:rsidRPr="005E6801">
        <w:rPr>
          <w:sz w:val="28"/>
          <w:szCs w:val="28"/>
        </w:rPr>
        <w:t> </w:t>
      </w:r>
      <w:r w:rsidRPr="005E6801">
        <w:rPr>
          <w:sz w:val="28"/>
          <w:szCs w:val="28"/>
        </w:rPr>
        <w:t xml:space="preserve">124. </w:t>
      </w:r>
      <w:r w:rsidRPr="005E6801">
        <w:rPr>
          <w:bCs/>
          <w:sz w:val="28"/>
          <w:szCs w:val="28"/>
        </w:rPr>
        <w:t>Проектом постановления</w:t>
      </w:r>
      <w:r w:rsidRPr="005E6801">
        <w:rPr>
          <w:sz w:val="28"/>
          <w:szCs w:val="28"/>
        </w:rPr>
        <w:t xml:space="preserve">, не охвачены субъекты предпринимательской и инвестиционной деятельности. Положения </w:t>
      </w:r>
      <w:r w:rsidRPr="005E6801">
        <w:rPr>
          <w:bCs/>
          <w:sz w:val="28"/>
          <w:szCs w:val="28"/>
        </w:rPr>
        <w:t>Проект постановления</w:t>
      </w:r>
      <w:r w:rsidRPr="005E6801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F2473" w:rsidRDefault="00AF2473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Pr="00C94AAA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D566B6" w:rsidRPr="00C94AAA" w:rsidRDefault="00D566B6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8"/>
          <w:szCs w:val="28"/>
        </w:rPr>
      </w:pPr>
    </w:p>
    <w:p w:rsidR="000C01F6" w:rsidRPr="00F75B70" w:rsidRDefault="00F75B70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 xml:space="preserve">И.О. </w:t>
      </w:r>
      <w:r w:rsidR="000C01F6" w:rsidRPr="00F75B70">
        <w:rPr>
          <w:sz w:val="28"/>
          <w:szCs w:val="28"/>
        </w:rPr>
        <w:t>Председател</w:t>
      </w:r>
      <w:r w:rsidRPr="00F75B70">
        <w:rPr>
          <w:sz w:val="28"/>
          <w:szCs w:val="28"/>
        </w:rPr>
        <w:t>я</w:t>
      </w:r>
      <w:r w:rsidR="000C01F6" w:rsidRPr="00F75B70">
        <w:rPr>
          <w:sz w:val="28"/>
          <w:szCs w:val="28"/>
        </w:rPr>
        <w:t xml:space="preserve"> комитета общего и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AF2473" w:rsidRPr="00F75B70">
        <w:rPr>
          <w:sz w:val="28"/>
          <w:szCs w:val="28"/>
        </w:rPr>
        <w:tab/>
      </w:r>
      <w:r w:rsidR="0074604E" w:rsidRPr="00F75B70">
        <w:rPr>
          <w:sz w:val="28"/>
          <w:szCs w:val="28"/>
        </w:rPr>
        <w:tab/>
        <w:t xml:space="preserve">  </w:t>
      </w:r>
      <w:r w:rsidR="00C25C66" w:rsidRPr="00F75B70">
        <w:rPr>
          <w:sz w:val="28"/>
          <w:szCs w:val="28"/>
        </w:rPr>
        <w:t xml:space="preserve">  </w:t>
      </w:r>
      <w:r w:rsidR="00F75B70" w:rsidRPr="00F75B70">
        <w:rPr>
          <w:sz w:val="28"/>
          <w:szCs w:val="28"/>
        </w:rPr>
        <w:t>Т.Г. Рыборецкая</w:t>
      </w:r>
    </w:p>
    <w:p w:rsidR="00B731EA" w:rsidRDefault="000C01F6" w:rsidP="00B731EA">
      <w:pPr>
        <w:pStyle w:val="ConsPlusTitle"/>
        <w:jc w:val="center"/>
        <w:rPr>
          <w:sz w:val="28"/>
          <w:szCs w:val="28"/>
        </w:rPr>
      </w:pPr>
      <w:r w:rsidRPr="00C94AAA">
        <w:rPr>
          <w:b w:val="0"/>
          <w:bCs w:val="0"/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>ТЕХНИКО-ЭКОНОМИЧЕСКОЕ ОБОСНОВАНИЕ</w:t>
      </w:r>
    </w:p>
    <w:p w:rsidR="00EB2109" w:rsidRPr="00EB2109" w:rsidRDefault="00EB2109" w:rsidP="00B731EA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5251A2" w:rsidRDefault="005251A2" w:rsidP="005251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C318D">
        <w:rPr>
          <w:sz w:val="28"/>
          <w:szCs w:val="28"/>
        </w:rPr>
        <w:t xml:space="preserve">О внесении изменений в распределение объемов субвенций между бюджетами муниципальных образований Ленинградской области </w:t>
      </w:r>
      <w:r w:rsidRPr="005251A2">
        <w:rPr>
          <w:sz w:val="28"/>
          <w:szCs w:val="28"/>
        </w:rPr>
        <w:t>на осуществление отдельных государст</w:t>
      </w:r>
      <w:bookmarkStart w:id="0" w:name="_GoBack"/>
      <w:bookmarkEnd w:id="0"/>
      <w:r w:rsidRPr="005251A2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>полномочий Ленинградской области по организации бесплатного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>горячего питания обучающихся, получающих начальное общее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>образование в государственных и муниципальных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>образовательных организациях, на 2021 год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 xml:space="preserve">и на плановый </w:t>
      </w:r>
    </w:p>
    <w:p w:rsidR="005251A2" w:rsidRPr="005251A2" w:rsidRDefault="005251A2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  <w:r>
        <w:rPr>
          <w:sz w:val="28"/>
          <w:szCs w:val="28"/>
        </w:rPr>
        <w:t>»</w:t>
      </w:r>
    </w:p>
    <w:p w:rsidR="000C01F6" w:rsidRPr="005E6801" w:rsidRDefault="000C01F6" w:rsidP="000C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B3F" w:rsidRPr="005251A2" w:rsidRDefault="00AD1B3F" w:rsidP="00F75B70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proofErr w:type="gramStart"/>
      <w:r w:rsidRPr="005E6801">
        <w:rPr>
          <w:sz w:val="28"/>
          <w:szCs w:val="28"/>
        </w:rPr>
        <w:t xml:space="preserve">Настоящий проекта </w:t>
      </w:r>
      <w:r w:rsidRPr="005E6801">
        <w:rPr>
          <w:bCs/>
          <w:sz w:val="28"/>
          <w:szCs w:val="28"/>
        </w:rPr>
        <w:t xml:space="preserve">постановления Правительства Ленинградской области </w:t>
      </w:r>
      <w:r w:rsidR="005E6801" w:rsidRPr="005E6801">
        <w:rPr>
          <w:sz w:val="28"/>
          <w:szCs w:val="28"/>
        </w:rPr>
        <w:t xml:space="preserve">«О внесении изменений в распределение объемов </w:t>
      </w:r>
      <w:r w:rsidR="005E6801" w:rsidRPr="005E6801">
        <w:rPr>
          <w:bCs/>
          <w:sz w:val="28"/>
          <w:szCs w:val="28"/>
        </w:rPr>
        <w:t xml:space="preserve">субвенций между бюджетами муниципальных образований Ленинградской области </w:t>
      </w:r>
      <w:r w:rsidR="005E6801" w:rsidRPr="005E6801">
        <w:rPr>
          <w:sz w:val="28"/>
          <w:szCs w:val="28"/>
        </w:rPr>
        <w:t xml:space="preserve">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2021 год и на </w:t>
      </w:r>
      <w:r w:rsidR="005E6801" w:rsidRPr="00787F68">
        <w:rPr>
          <w:sz w:val="28"/>
          <w:szCs w:val="28"/>
        </w:rPr>
        <w:t xml:space="preserve">плановый </w:t>
      </w:r>
      <w:r w:rsidR="005E6801" w:rsidRPr="00787F68">
        <w:rPr>
          <w:b/>
          <w:sz w:val="28"/>
          <w:szCs w:val="28"/>
        </w:rPr>
        <w:t xml:space="preserve"> </w:t>
      </w:r>
      <w:r w:rsidR="005E6801" w:rsidRPr="00787F68">
        <w:rPr>
          <w:sz w:val="28"/>
          <w:szCs w:val="28"/>
        </w:rPr>
        <w:t>период 2022 и 2023 годов»</w:t>
      </w:r>
      <w:r w:rsidR="005E6801" w:rsidRPr="00787F68">
        <w:rPr>
          <w:bCs/>
          <w:sz w:val="28"/>
          <w:szCs w:val="28"/>
        </w:rPr>
        <w:t xml:space="preserve"> в части 2021 года»</w:t>
      </w:r>
      <w:r w:rsidR="005E6801" w:rsidRPr="00787F68">
        <w:rPr>
          <w:sz w:val="28"/>
          <w:szCs w:val="28"/>
        </w:rPr>
        <w:t xml:space="preserve"> </w:t>
      </w:r>
      <w:r w:rsidRPr="00787F68">
        <w:rPr>
          <w:sz w:val="28"/>
          <w:szCs w:val="28"/>
        </w:rPr>
        <w:t>(далее – Проект</w:t>
      </w:r>
      <w:r w:rsidR="009A25DA" w:rsidRPr="00787F68">
        <w:rPr>
          <w:sz w:val="28"/>
          <w:szCs w:val="28"/>
        </w:rPr>
        <w:t xml:space="preserve"> постановления</w:t>
      </w:r>
      <w:proofErr w:type="gramEnd"/>
      <w:r w:rsidRPr="00787F68">
        <w:rPr>
          <w:sz w:val="28"/>
          <w:szCs w:val="28"/>
        </w:rPr>
        <w:t xml:space="preserve">) </w:t>
      </w:r>
      <w:proofErr w:type="gramStart"/>
      <w:r w:rsidRPr="00787F68">
        <w:rPr>
          <w:sz w:val="28"/>
          <w:szCs w:val="28"/>
        </w:rPr>
        <w:t xml:space="preserve">разработан </w:t>
      </w:r>
      <w:r w:rsidR="00787F68" w:rsidRPr="00787F68">
        <w:rPr>
          <w:sz w:val="28"/>
          <w:szCs w:val="28"/>
        </w:rPr>
        <w:t xml:space="preserve">в связи с заключением  дополнительного соглашения к Соглашению между Министерством просвещения Российской Федерации и Правительством Ленинградской области о предоставлении субсидий из федерального бюджета бюджету Ленинградской области на </w:t>
      </w:r>
      <w:proofErr w:type="spellStart"/>
      <w:r w:rsidR="00787F68" w:rsidRPr="00787F68">
        <w:rPr>
          <w:sz w:val="28"/>
          <w:szCs w:val="28"/>
        </w:rPr>
        <w:t>софинансирование</w:t>
      </w:r>
      <w:proofErr w:type="spellEnd"/>
      <w:r w:rsidR="00787F68" w:rsidRPr="00787F68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 в государственных образовательных организациях субъекта Российской</w:t>
      </w:r>
      <w:proofErr w:type="gramEnd"/>
      <w:r w:rsidR="00787F68" w:rsidRPr="00787F68">
        <w:rPr>
          <w:sz w:val="28"/>
          <w:szCs w:val="28"/>
        </w:rPr>
        <w:t xml:space="preserve"> Федерации  (муниципальных образовательных организациях) в рамках государственной программы Российской Федерации «Развитие образования» от 21.12.2020 № 073-09-2021-331 в части уменьшения бюджетных ассигнований на сумму экономии в результате проведения конкурсных процедур.</w:t>
      </w:r>
    </w:p>
    <w:p w:rsidR="00B57DBF" w:rsidRPr="005251A2" w:rsidRDefault="00B57DBF" w:rsidP="00F75B70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</w:p>
    <w:tbl>
      <w:tblPr>
        <w:tblW w:w="10221" w:type="dxa"/>
        <w:tblInd w:w="93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693"/>
        <w:gridCol w:w="1843"/>
        <w:gridCol w:w="1984"/>
      </w:tblGrid>
      <w:tr w:rsidR="001C0CBB" w:rsidRPr="005251A2" w:rsidTr="001C0CBB">
        <w:trPr>
          <w:trHeight w:val="223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BB" w:rsidRPr="001C0CBB" w:rsidRDefault="001C0CBB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N </w:t>
            </w:r>
            <w:proofErr w:type="gramStart"/>
            <w:r w:rsidRPr="001C0CBB">
              <w:rPr>
                <w:sz w:val="22"/>
                <w:szCs w:val="22"/>
              </w:rPr>
              <w:t>п</w:t>
            </w:r>
            <w:proofErr w:type="gramEnd"/>
            <w:r w:rsidRPr="001C0CBB">
              <w:rPr>
                <w:sz w:val="22"/>
                <w:szCs w:val="22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BB" w:rsidRPr="001C0CBB" w:rsidRDefault="001C0CBB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1C0CBB" w:rsidRDefault="001C0CBB" w:rsidP="00787F68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Сумма уменьшения ассигнований на 2021 год, тысяч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0CBB" w:rsidRPr="001C0CBB" w:rsidRDefault="001C0CBB" w:rsidP="00787F68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В том числе:</w:t>
            </w:r>
          </w:p>
        </w:tc>
      </w:tr>
      <w:tr w:rsidR="001C0CBB" w:rsidRPr="005251A2" w:rsidTr="001C0CBB">
        <w:trPr>
          <w:trHeight w:val="456"/>
          <w:tblHeader/>
        </w:trPr>
        <w:tc>
          <w:tcPr>
            <w:tcW w:w="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0CBB" w:rsidRPr="001C0CBB" w:rsidRDefault="001C0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0CBB" w:rsidRPr="001C0CBB" w:rsidRDefault="001C0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BB" w:rsidRPr="001C0CBB" w:rsidRDefault="001C0CBB" w:rsidP="00787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0CBB" w:rsidRPr="001C0CBB" w:rsidRDefault="001C0CBB" w:rsidP="00787F68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0CBB" w:rsidRPr="001C0CBB" w:rsidRDefault="001C0CBB" w:rsidP="001C0CBB">
            <w:pPr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Областной бюджет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1C0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Бокситогорский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607,8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213,0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394,8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Волосовский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424,7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148,8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275,9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Всеволожский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1 145,4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401,3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744,1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Выборгский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3 479,2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1 219,0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2 260,2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Гатчинский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5 335,5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1 869,4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3 466,2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Лужский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1 198,7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420,0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778,7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Приозерский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1 297,0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454,4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842,6 </w:t>
            </w:r>
          </w:p>
        </w:tc>
      </w:tr>
      <w:tr w:rsidR="001C0CBB" w:rsidRPr="005251A2" w:rsidTr="001C0CBB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Сланцевский МР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699,3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245,0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BB" w:rsidRPr="001C0CBB" w:rsidRDefault="001C0CBB">
            <w:pPr>
              <w:jc w:val="right"/>
              <w:outlineLvl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 xml:space="preserve">         454,3 </w:t>
            </w:r>
          </w:p>
        </w:tc>
      </w:tr>
      <w:tr w:rsidR="001C0CBB" w:rsidRPr="005251A2" w:rsidTr="001C0CBB">
        <w:trPr>
          <w:trHeight w:val="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CBB" w:rsidRPr="001C0CBB" w:rsidRDefault="001C0CBB" w:rsidP="00DD2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CBB"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BB" w:rsidRPr="001C0CBB" w:rsidRDefault="001C0CB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C0CBB">
              <w:rPr>
                <w:b/>
                <w:bCs/>
                <w:sz w:val="22"/>
                <w:szCs w:val="22"/>
              </w:rPr>
              <w:t xml:space="preserve">    14 187,6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CBB" w:rsidRPr="001C0CBB" w:rsidRDefault="001C0CB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C0CBB">
              <w:rPr>
                <w:b/>
                <w:bCs/>
                <w:sz w:val="22"/>
                <w:szCs w:val="22"/>
              </w:rPr>
              <w:t xml:space="preserve">      4 970,8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CBB" w:rsidRPr="001C0CBB" w:rsidRDefault="001C0CB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C0CBB">
              <w:rPr>
                <w:b/>
                <w:bCs/>
                <w:sz w:val="22"/>
                <w:szCs w:val="22"/>
              </w:rPr>
              <w:t xml:space="preserve">      9 216,8 </w:t>
            </w:r>
          </w:p>
        </w:tc>
      </w:tr>
    </w:tbl>
    <w:p w:rsidR="00F75B70" w:rsidRPr="005251A2" w:rsidRDefault="00F75B70" w:rsidP="00F75B70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</w:p>
    <w:p w:rsidR="00F75B70" w:rsidRPr="005251A2" w:rsidRDefault="00F75B70" w:rsidP="00F75B70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</w:p>
    <w:p w:rsidR="00AD1B3F" w:rsidRPr="005E6801" w:rsidRDefault="00AD1B3F" w:rsidP="00F75B70">
      <w:pPr>
        <w:ind w:firstLine="851"/>
        <w:jc w:val="both"/>
        <w:rPr>
          <w:sz w:val="28"/>
          <w:szCs w:val="28"/>
        </w:rPr>
      </w:pPr>
      <w:r w:rsidRPr="005E6801">
        <w:rPr>
          <w:bCs/>
          <w:sz w:val="28"/>
          <w:szCs w:val="28"/>
        </w:rPr>
        <w:t xml:space="preserve">Принятие представленного на рассмотрение Проекта </w:t>
      </w:r>
      <w:r w:rsidR="009A25DA" w:rsidRPr="005E6801">
        <w:rPr>
          <w:bCs/>
          <w:sz w:val="28"/>
          <w:szCs w:val="28"/>
        </w:rPr>
        <w:t>постановления не </w:t>
      </w:r>
      <w:r w:rsidRPr="005E6801">
        <w:rPr>
          <w:bCs/>
          <w:sz w:val="28"/>
          <w:szCs w:val="28"/>
        </w:rPr>
        <w:t>потребует дополнительных затрат областного</w:t>
      </w:r>
      <w:r w:rsidRPr="005E6801">
        <w:rPr>
          <w:sz w:val="28"/>
          <w:szCs w:val="28"/>
        </w:rPr>
        <w:t xml:space="preserve"> бюджета Ленинградской области</w:t>
      </w:r>
      <w:r w:rsidRPr="005E6801">
        <w:rPr>
          <w:bCs/>
          <w:sz w:val="28"/>
          <w:szCs w:val="28"/>
        </w:rPr>
        <w:t>.</w:t>
      </w:r>
    </w:p>
    <w:p w:rsidR="000C01F6" w:rsidRPr="00C94AAA" w:rsidRDefault="000C01F6" w:rsidP="000C01F6">
      <w:pPr>
        <w:jc w:val="both"/>
        <w:rPr>
          <w:bCs/>
          <w:color w:val="548DD4" w:themeColor="text2" w:themeTint="99"/>
          <w:sz w:val="28"/>
          <w:szCs w:val="28"/>
        </w:rPr>
      </w:pPr>
    </w:p>
    <w:p w:rsidR="000C01F6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Pr="00C94AAA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0C01F6" w:rsidRPr="00C94AAA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И.О. Председателя комитета общего и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  <w:t xml:space="preserve">    Т.Г. Рыборецкая</w:t>
      </w: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sectPr w:rsidR="00C94AAA" w:rsidRPr="00F75B70" w:rsidSect="005E6801">
      <w:pgSz w:w="11905" w:h="16838" w:code="9"/>
      <w:pgMar w:top="709" w:right="567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E6441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C85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0704AFD"/>
    <w:multiLevelType w:val="multilevel"/>
    <w:tmpl w:val="0C28AA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1D55"/>
    <w:multiLevelType w:val="hybridMultilevel"/>
    <w:tmpl w:val="F42CBFEC"/>
    <w:lvl w:ilvl="0" w:tplc="CCF44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E02E4"/>
    <w:multiLevelType w:val="hybridMultilevel"/>
    <w:tmpl w:val="EA4C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6666"/>
    <w:multiLevelType w:val="multilevel"/>
    <w:tmpl w:val="4176A0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94286"/>
    <w:rsid w:val="000957B6"/>
    <w:rsid w:val="000A16AF"/>
    <w:rsid w:val="000A71A4"/>
    <w:rsid w:val="000B0DC1"/>
    <w:rsid w:val="000B2EB0"/>
    <w:rsid w:val="000C01F6"/>
    <w:rsid w:val="000C09C8"/>
    <w:rsid w:val="000C1082"/>
    <w:rsid w:val="000C2D67"/>
    <w:rsid w:val="000C4B9B"/>
    <w:rsid w:val="000D2246"/>
    <w:rsid w:val="000E0628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6842"/>
    <w:rsid w:val="001170EA"/>
    <w:rsid w:val="00123B72"/>
    <w:rsid w:val="00126514"/>
    <w:rsid w:val="00137B07"/>
    <w:rsid w:val="00142FFC"/>
    <w:rsid w:val="001452DD"/>
    <w:rsid w:val="001522CE"/>
    <w:rsid w:val="001553A3"/>
    <w:rsid w:val="00156194"/>
    <w:rsid w:val="00162FA1"/>
    <w:rsid w:val="00165CC4"/>
    <w:rsid w:val="00172E8C"/>
    <w:rsid w:val="0017559C"/>
    <w:rsid w:val="00175742"/>
    <w:rsid w:val="001802DB"/>
    <w:rsid w:val="00181DD6"/>
    <w:rsid w:val="001842F3"/>
    <w:rsid w:val="0019112B"/>
    <w:rsid w:val="00195C1F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0CBB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526"/>
    <w:rsid w:val="001E07A8"/>
    <w:rsid w:val="001E1629"/>
    <w:rsid w:val="001E4D47"/>
    <w:rsid w:val="001E537C"/>
    <w:rsid w:val="001F301B"/>
    <w:rsid w:val="001F4BA2"/>
    <w:rsid w:val="00203EB6"/>
    <w:rsid w:val="0020554F"/>
    <w:rsid w:val="00206861"/>
    <w:rsid w:val="0021155F"/>
    <w:rsid w:val="00213259"/>
    <w:rsid w:val="002319DA"/>
    <w:rsid w:val="00233860"/>
    <w:rsid w:val="002340F2"/>
    <w:rsid w:val="00234320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A1151"/>
    <w:rsid w:val="002A2298"/>
    <w:rsid w:val="002A35F2"/>
    <w:rsid w:val="002A4ED7"/>
    <w:rsid w:val="002B03CA"/>
    <w:rsid w:val="002B2755"/>
    <w:rsid w:val="002C02C9"/>
    <w:rsid w:val="002C7EA6"/>
    <w:rsid w:val="002D6FEF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214FD"/>
    <w:rsid w:val="003249ED"/>
    <w:rsid w:val="00324B9F"/>
    <w:rsid w:val="00326734"/>
    <w:rsid w:val="003305B7"/>
    <w:rsid w:val="00334704"/>
    <w:rsid w:val="00334EAB"/>
    <w:rsid w:val="003366C0"/>
    <w:rsid w:val="00336B2C"/>
    <w:rsid w:val="003373D6"/>
    <w:rsid w:val="00341D7B"/>
    <w:rsid w:val="0034784A"/>
    <w:rsid w:val="00353258"/>
    <w:rsid w:val="0035431B"/>
    <w:rsid w:val="003614E8"/>
    <w:rsid w:val="00362BAC"/>
    <w:rsid w:val="00362CD8"/>
    <w:rsid w:val="003636D5"/>
    <w:rsid w:val="003636EE"/>
    <w:rsid w:val="00364F59"/>
    <w:rsid w:val="00365B03"/>
    <w:rsid w:val="00367A06"/>
    <w:rsid w:val="003711F9"/>
    <w:rsid w:val="00371BF4"/>
    <w:rsid w:val="00372CB6"/>
    <w:rsid w:val="00382E97"/>
    <w:rsid w:val="00383A14"/>
    <w:rsid w:val="003873AA"/>
    <w:rsid w:val="00387511"/>
    <w:rsid w:val="00395D9B"/>
    <w:rsid w:val="00395DE9"/>
    <w:rsid w:val="003A4D4A"/>
    <w:rsid w:val="003B0553"/>
    <w:rsid w:val="003B0680"/>
    <w:rsid w:val="003B3E17"/>
    <w:rsid w:val="003C344C"/>
    <w:rsid w:val="003C63CB"/>
    <w:rsid w:val="003C67A2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32C1"/>
    <w:rsid w:val="004B366B"/>
    <w:rsid w:val="004C65BB"/>
    <w:rsid w:val="004D1A67"/>
    <w:rsid w:val="004D6B02"/>
    <w:rsid w:val="004E415C"/>
    <w:rsid w:val="004E4C72"/>
    <w:rsid w:val="00502232"/>
    <w:rsid w:val="005044A7"/>
    <w:rsid w:val="00510ABA"/>
    <w:rsid w:val="005118C7"/>
    <w:rsid w:val="005162C6"/>
    <w:rsid w:val="00516BC4"/>
    <w:rsid w:val="0052011B"/>
    <w:rsid w:val="005251A2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86EF5"/>
    <w:rsid w:val="00596534"/>
    <w:rsid w:val="0059739D"/>
    <w:rsid w:val="00597775"/>
    <w:rsid w:val="005A3B8E"/>
    <w:rsid w:val="005A56BF"/>
    <w:rsid w:val="005A637A"/>
    <w:rsid w:val="005B1A22"/>
    <w:rsid w:val="005B6488"/>
    <w:rsid w:val="005C2EC9"/>
    <w:rsid w:val="005C3E5C"/>
    <w:rsid w:val="005C5998"/>
    <w:rsid w:val="005D4A77"/>
    <w:rsid w:val="005D7612"/>
    <w:rsid w:val="005E0B98"/>
    <w:rsid w:val="005E1F3E"/>
    <w:rsid w:val="005E4941"/>
    <w:rsid w:val="005E5659"/>
    <w:rsid w:val="005E5712"/>
    <w:rsid w:val="005E6801"/>
    <w:rsid w:val="005F4355"/>
    <w:rsid w:val="005F5E0A"/>
    <w:rsid w:val="006017B5"/>
    <w:rsid w:val="00601C82"/>
    <w:rsid w:val="0060548A"/>
    <w:rsid w:val="00612DA3"/>
    <w:rsid w:val="00616E76"/>
    <w:rsid w:val="00621D66"/>
    <w:rsid w:val="00622DD5"/>
    <w:rsid w:val="0062399B"/>
    <w:rsid w:val="0062723D"/>
    <w:rsid w:val="006275F6"/>
    <w:rsid w:val="006306B5"/>
    <w:rsid w:val="00631A62"/>
    <w:rsid w:val="00633F90"/>
    <w:rsid w:val="006367E8"/>
    <w:rsid w:val="00637E7F"/>
    <w:rsid w:val="00643D12"/>
    <w:rsid w:val="00653A06"/>
    <w:rsid w:val="0066565B"/>
    <w:rsid w:val="00676F93"/>
    <w:rsid w:val="00681951"/>
    <w:rsid w:val="00684B64"/>
    <w:rsid w:val="00685F29"/>
    <w:rsid w:val="0069361D"/>
    <w:rsid w:val="00696DC5"/>
    <w:rsid w:val="00697A42"/>
    <w:rsid w:val="006A3761"/>
    <w:rsid w:val="006B4633"/>
    <w:rsid w:val="006C054E"/>
    <w:rsid w:val="006C07DB"/>
    <w:rsid w:val="006C4CA2"/>
    <w:rsid w:val="006C78B1"/>
    <w:rsid w:val="006D12DF"/>
    <w:rsid w:val="006D62E9"/>
    <w:rsid w:val="006D731C"/>
    <w:rsid w:val="006D7B1D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92"/>
    <w:rsid w:val="00722CEB"/>
    <w:rsid w:val="007278DF"/>
    <w:rsid w:val="00731592"/>
    <w:rsid w:val="00732E3D"/>
    <w:rsid w:val="00733C1B"/>
    <w:rsid w:val="00740FC4"/>
    <w:rsid w:val="00741AF0"/>
    <w:rsid w:val="0074604E"/>
    <w:rsid w:val="007523E7"/>
    <w:rsid w:val="00754B7C"/>
    <w:rsid w:val="00760488"/>
    <w:rsid w:val="00761419"/>
    <w:rsid w:val="00766B53"/>
    <w:rsid w:val="007719A7"/>
    <w:rsid w:val="00772851"/>
    <w:rsid w:val="00773651"/>
    <w:rsid w:val="007760D9"/>
    <w:rsid w:val="00781BFF"/>
    <w:rsid w:val="00782634"/>
    <w:rsid w:val="00783C55"/>
    <w:rsid w:val="00784338"/>
    <w:rsid w:val="00784C80"/>
    <w:rsid w:val="0078565D"/>
    <w:rsid w:val="007877A2"/>
    <w:rsid w:val="00787F68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528F"/>
    <w:rsid w:val="007B5DB4"/>
    <w:rsid w:val="007C070B"/>
    <w:rsid w:val="007C41B6"/>
    <w:rsid w:val="007D0550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804687"/>
    <w:rsid w:val="00806B93"/>
    <w:rsid w:val="00814483"/>
    <w:rsid w:val="00816BDA"/>
    <w:rsid w:val="008177DB"/>
    <w:rsid w:val="008207A8"/>
    <w:rsid w:val="0082085A"/>
    <w:rsid w:val="0082260C"/>
    <w:rsid w:val="0082542F"/>
    <w:rsid w:val="00827265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6E56"/>
    <w:rsid w:val="00906EB8"/>
    <w:rsid w:val="0091247C"/>
    <w:rsid w:val="00917345"/>
    <w:rsid w:val="00923701"/>
    <w:rsid w:val="00924855"/>
    <w:rsid w:val="009268E7"/>
    <w:rsid w:val="009327C4"/>
    <w:rsid w:val="009338CC"/>
    <w:rsid w:val="00934A37"/>
    <w:rsid w:val="0093685C"/>
    <w:rsid w:val="00943F44"/>
    <w:rsid w:val="009455AC"/>
    <w:rsid w:val="0094583F"/>
    <w:rsid w:val="00947041"/>
    <w:rsid w:val="0095289B"/>
    <w:rsid w:val="00957F96"/>
    <w:rsid w:val="00965795"/>
    <w:rsid w:val="00967302"/>
    <w:rsid w:val="009714D0"/>
    <w:rsid w:val="009749B2"/>
    <w:rsid w:val="00975E81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129"/>
    <w:rsid w:val="009C6AFD"/>
    <w:rsid w:val="009D026A"/>
    <w:rsid w:val="009D0295"/>
    <w:rsid w:val="009D1F15"/>
    <w:rsid w:val="009D2487"/>
    <w:rsid w:val="009D4862"/>
    <w:rsid w:val="009D4B5E"/>
    <w:rsid w:val="009D75AC"/>
    <w:rsid w:val="009D7734"/>
    <w:rsid w:val="009D7F31"/>
    <w:rsid w:val="009E0D49"/>
    <w:rsid w:val="009E3378"/>
    <w:rsid w:val="009E37EF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5B"/>
    <w:rsid w:val="00A31BD7"/>
    <w:rsid w:val="00A3208D"/>
    <w:rsid w:val="00A32BD2"/>
    <w:rsid w:val="00A40A97"/>
    <w:rsid w:val="00A43C1A"/>
    <w:rsid w:val="00A44AD8"/>
    <w:rsid w:val="00A53F9F"/>
    <w:rsid w:val="00A57F03"/>
    <w:rsid w:val="00A61F2F"/>
    <w:rsid w:val="00A67FE7"/>
    <w:rsid w:val="00A7171F"/>
    <w:rsid w:val="00A72A8E"/>
    <w:rsid w:val="00A750D8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4E91"/>
    <w:rsid w:val="00AB56AE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6B9"/>
    <w:rsid w:val="00AE19FA"/>
    <w:rsid w:val="00AE1E37"/>
    <w:rsid w:val="00AE61FA"/>
    <w:rsid w:val="00AE7A14"/>
    <w:rsid w:val="00AF2473"/>
    <w:rsid w:val="00AF5812"/>
    <w:rsid w:val="00B00296"/>
    <w:rsid w:val="00B02046"/>
    <w:rsid w:val="00B049C5"/>
    <w:rsid w:val="00B20F40"/>
    <w:rsid w:val="00B26935"/>
    <w:rsid w:val="00B26B30"/>
    <w:rsid w:val="00B27AE1"/>
    <w:rsid w:val="00B314A7"/>
    <w:rsid w:val="00B321FD"/>
    <w:rsid w:val="00B34D6E"/>
    <w:rsid w:val="00B44906"/>
    <w:rsid w:val="00B44E58"/>
    <w:rsid w:val="00B522C1"/>
    <w:rsid w:val="00B55E59"/>
    <w:rsid w:val="00B564E6"/>
    <w:rsid w:val="00B5734B"/>
    <w:rsid w:val="00B57DBF"/>
    <w:rsid w:val="00B61A71"/>
    <w:rsid w:val="00B62C69"/>
    <w:rsid w:val="00B6482A"/>
    <w:rsid w:val="00B731EA"/>
    <w:rsid w:val="00B741D6"/>
    <w:rsid w:val="00B748D1"/>
    <w:rsid w:val="00B75FEE"/>
    <w:rsid w:val="00B8253E"/>
    <w:rsid w:val="00B845D0"/>
    <w:rsid w:val="00B857EB"/>
    <w:rsid w:val="00B85F0E"/>
    <w:rsid w:val="00B87414"/>
    <w:rsid w:val="00B87A89"/>
    <w:rsid w:val="00B922DA"/>
    <w:rsid w:val="00B924AA"/>
    <w:rsid w:val="00B95A44"/>
    <w:rsid w:val="00B95C1E"/>
    <w:rsid w:val="00B95EBF"/>
    <w:rsid w:val="00B96357"/>
    <w:rsid w:val="00BA06F6"/>
    <w:rsid w:val="00BA23DA"/>
    <w:rsid w:val="00BA4B57"/>
    <w:rsid w:val="00BB4294"/>
    <w:rsid w:val="00BB7580"/>
    <w:rsid w:val="00BB77CF"/>
    <w:rsid w:val="00BC0592"/>
    <w:rsid w:val="00BC0F58"/>
    <w:rsid w:val="00BC59DB"/>
    <w:rsid w:val="00BC7037"/>
    <w:rsid w:val="00BD14A1"/>
    <w:rsid w:val="00BD29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ABA"/>
    <w:rsid w:val="00C13646"/>
    <w:rsid w:val="00C164F4"/>
    <w:rsid w:val="00C238AE"/>
    <w:rsid w:val="00C25C66"/>
    <w:rsid w:val="00C31A7D"/>
    <w:rsid w:val="00C34301"/>
    <w:rsid w:val="00C34D0B"/>
    <w:rsid w:val="00C44175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4AAA"/>
    <w:rsid w:val="00C952A8"/>
    <w:rsid w:val="00CA280B"/>
    <w:rsid w:val="00CB4C42"/>
    <w:rsid w:val="00CB56C7"/>
    <w:rsid w:val="00CC1882"/>
    <w:rsid w:val="00CC3F6C"/>
    <w:rsid w:val="00CC41A9"/>
    <w:rsid w:val="00CC5703"/>
    <w:rsid w:val="00CC7D68"/>
    <w:rsid w:val="00CD262A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34235"/>
    <w:rsid w:val="00D373E4"/>
    <w:rsid w:val="00D40248"/>
    <w:rsid w:val="00D40406"/>
    <w:rsid w:val="00D44B83"/>
    <w:rsid w:val="00D51155"/>
    <w:rsid w:val="00D554CC"/>
    <w:rsid w:val="00D560EC"/>
    <w:rsid w:val="00D562BC"/>
    <w:rsid w:val="00D5643D"/>
    <w:rsid w:val="00D566B6"/>
    <w:rsid w:val="00D5784B"/>
    <w:rsid w:val="00D62383"/>
    <w:rsid w:val="00D736A2"/>
    <w:rsid w:val="00D750D3"/>
    <w:rsid w:val="00D755CD"/>
    <w:rsid w:val="00D80A1E"/>
    <w:rsid w:val="00D80B8D"/>
    <w:rsid w:val="00D8132F"/>
    <w:rsid w:val="00D95C20"/>
    <w:rsid w:val="00D97B3A"/>
    <w:rsid w:val="00DA32A4"/>
    <w:rsid w:val="00DA384E"/>
    <w:rsid w:val="00DA5A4E"/>
    <w:rsid w:val="00DA71D9"/>
    <w:rsid w:val="00DB1E03"/>
    <w:rsid w:val="00DB4092"/>
    <w:rsid w:val="00DC0130"/>
    <w:rsid w:val="00DC0AB5"/>
    <w:rsid w:val="00DC1C5D"/>
    <w:rsid w:val="00DC1F83"/>
    <w:rsid w:val="00DC23A5"/>
    <w:rsid w:val="00DC4D64"/>
    <w:rsid w:val="00DD141E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34276"/>
    <w:rsid w:val="00E37781"/>
    <w:rsid w:val="00E41AB3"/>
    <w:rsid w:val="00E4467E"/>
    <w:rsid w:val="00E463DD"/>
    <w:rsid w:val="00E520D5"/>
    <w:rsid w:val="00E54615"/>
    <w:rsid w:val="00E579CC"/>
    <w:rsid w:val="00E60990"/>
    <w:rsid w:val="00E61459"/>
    <w:rsid w:val="00E64EAF"/>
    <w:rsid w:val="00E70E0E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B2109"/>
    <w:rsid w:val="00EC0F0F"/>
    <w:rsid w:val="00EC226D"/>
    <w:rsid w:val="00EC318D"/>
    <w:rsid w:val="00ED0EA2"/>
    <w:rsid w:val="00ED1032"/>
    <w:rsid w:val="00ED3C52"/>
    <w:rsid w:val="00EE2781"/>
    <w:rsid w:val="00EE281B"/>
    <w:rsid w:val="00EE2A49"/>
    <w:rsid w:val="00EE5B8A"/>
    <w:rsid w:val="00EF1327"/>
    <w:rsid w:val="00EF3B2F"/>
    <w:rsid w:val="00EF3BC4"/>
    <w:rsid w:val="00EF5E7C"/>
    <w:rsid w:val="00EF747C"/>
    <w:rsid w:val="00F02C58"/>
    <w:rsid w:val="00F0513A"/>
    <w:rsid w:val="00F15C35"/>
    <w:rsid w:val="00F2147F"/>
    <w:rsid w:val="00F225B7"/>
    <w:rsid w:val="00F3541E"/>
    <w:rsid w:val="00F40BE0"/>
    <w:rsid w:val="00F46217"/>
    <w:rsid w:val="00F46C6D"/>
    <w:rsid w:val="00F4753B"/>
    <w:rsid w:val="00F529D0"/>
    <w:rsid w:val="00F52B8D"/>
    <w:rsid w:val="00F542BA"/>
    <w:rsid w:val="00F55A2E"/>
    <w:rsid w:val="00F571DD"/>
    <w:rsid w:val="00F57292"/>
    <w:rsid w:val="00F572A4"/>
    <w:rsid w:val="00F57704"/>
    <w:rsid w:val="00F57A3F"/>
    <w:rsid w:val="00F62341"/>
    <w:rsid w:val="00F65C1D"/>
    <w:rsid w:val="00F67F78"/>
    <w:rsid w:val="00F70ECB"/>
    <w:rsid w:val="00F75A40"/>
    <w:rsid w:val="00F75B70"/>
    <w:rsid w:val="00F76BC5"/>
    <w:rsid w:val="00F76E35"/>
    <w:rsid w:val="00F772F4"/>
    <w:rsid w:val="00F77EE6"/>
    <w:rsid w:val="00F82573"/>
    <w:rsid w:val="00F86D55"/>
    <w:rsid w:val="00FA0316"/>
    <w:rsid w:val="00FA2A56"/>
    <w:rsid w:val="00FA2BAC"/>
    <w:rsid w:val="00FA3FCE"/>
    <w:rsid w:val="00FB085B"/>
    <w:rsid w:val="00FB2F19"/>
    <w:rsid w:val="00FC7587"/>
    <w:rsid w:val="00FC7919"/>
    <w:rsid w:val="00FD0743"/>
    <w:rsid w:val="00FD4708"/>
    <w:rsid w:val="00FE0CF7"/>
    <w:rsid w:val="00FF0E9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BB4D-1B53-4E4F-AB7B-E706D94B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УТВЕРЖДЕНО</vt:lpstr>
    </vt:vector>
  </TitlesOfParts>
  <Company>Microsoft</Company>
  <LinksUpToDate>false</LinksUpToDate>
  <CharactersWithSpaces>9310</CharactersWithSpaces>
  <SharedDoc>false</SharedDoc>
  <HLinks>
    <vt:vector size="30" baseType="variant"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consultantplus://offline/ref=9C74E43B179D53F2FF65DD3289CC0F23780B839E78B0DE4ADEF34149036B706C9EE9B561F899CC802A914CE8F4TFl3S</vt:lpwstr>
      </vt:variant>
      <vt:variant>
        <vt:lpwstr/>
      </vt:variant>
      <vt:variant>
        <vt:i4>4325377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consultantplus://offline/ref=0E857925D00FCFC4216D30431934FD8B580ADC6ECD5A460E150E18BC6D4868EBD8D1D9D3829142EE6A4A608A5CV5j1S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consultantplus://offline/ref=4EC5C944C864E66E7EB35272A166C1F9594D87DE48A408E055E495E0B97936D79307A06363761E92401928C44DIAhBS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Марина Александровна Николаева</cp:lastModifiedBy>
  <cp:revision>3</cp:revision>
  <cp:lastPrinted>2017-06-29T11:05:00Z</cp:lastPrinted>
  <dcterms:created xsi:type="dcterms:W3CDTF">2021-12-13T11:51:00Z</dcterms:created>
  <dcterms:modified xsi:type="dcterms:W3CDTF">2021-12-13T11:51:00Z</dcterms:modified>
</cp:coreProperties>
</file>