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00" w:rsidRDefault="00570B00" w:rsidP="00570B00">
      <w:pPr>
        <w:ind w:left="5040"/>
        <w:jc w:val="center"/>
        <w:rPr>
          <w:sz w:val="28"/>
          <w:szCs w:val="28"/>
        </w:rPr>
      </w:pPr>
    </w:p>
    <w:p w:rsidR="00570B00" w:rsidRDefault="00570B00" w:rsidP="00570B0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8C36CA" wp14:editId="761EA3E5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B00" w:rsidRDefault="00570B00" w:rsidP="00570B00">
      <w:pPr>
        <w:jc w:val="center"/>
        <w:rPr>
          <w:sz w:val="28"/>
          <w:szCs w:val="28"/>
        </w:rPr>
      </w:pPr>
    </w:p>
    <w:p w:rsidR="00570B00" w:rsidRPr="00570B00" w:rsidRDefault="00570B00" w:rsidP="00570B0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0B00">
        <w:rPr>
          <w:rFonts w:ascii="Times New Roman" w:hAnsi="Times New Roman" w:cs="Times New Roman"/>
          <w:b/>
          <w:sz w:val="28"/>
          <w:szCs w:val="28"/>
        </w:rPr>
        <w:t>КОМИТЕТ ГОСУДАРСТВЕННОГО ЗАКАЗА</w:t>
      </w:r>
    </w:p>
    <w:p w:rsidR="00570B00" w:rsidRPr="00570B00" w:rsidRDefault="00570B00" w:rsidP="00570B00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0B0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70B00" w:rsidRPr="00197B60" w:rsidRDefault="00570B00" w:rsidP="00197B6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7B6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0C2DC1">
        <w:rPr>
          <w:rFonts w:ascii="Times New Roman" w:hAnsi="Times New Roman" w:cs="Times New Roman"/>
          <w:sz w:val="28"/>
          <w:szCs w:val="28"/>
        </w:rPr>
        <w:t>_______</w:t>
      </w:r>
    </w:p>
    <w:p w:rsidR="00570B00" w:rsidRPr="00197B60" w:rsidRDefault="00570B00" w:rsidP="00197B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B60">
        <w:rPr>
          <w:rFonts w:ascii="Times New Roman" w:hAnsi="Times New Roman" w:cs="Times New Roman"/>
          <w:sz w:val="28"/>
          <w:szCs w:val="28"/>
        </w:rPr>
        <w:t>от «</w:t>
      </w:r>
      <w:r w:rsidR="000C2DC1">
        <w:rPr>
          <w:rFonts w:ascii="Times New Roman" w:hAnsi="Times New Roman" w:cs="Times New Roman"/>
          <w:sz w:val="28"/>
          <w:szCs w:val="28"/>
        </w:rPr>
        <w:t>_______________ 2019</w:t>
      </w:r>
      <w:r w:rsidRPr="00197B6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70B00" w:rsidRPr="00197B60" w:rsidTr="001239A8">
        <w:tc>
          <w:tcPr>
            <w:tcW w:w="4785" w:type="dxa"/>
          </w:tcPr>
          <w:p w:rsidR="00AC670A" w:rsidRPr="00197B60" w:rsidRDefault="00AC670A" w:rsidP="0064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B00" w:rsidRPr="00197B60" w:rsidRDefault="00570B00" w:rsidP="0090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6354" w:rsidRPr="00197B6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="00A477D9" w:rsidRPr="00197B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6354" w:rsidRPr="00197B60">
              <w:rPr>
                <w:rFonts w:ascii="Times New Roman" w:hAnsi="Times New Roman" w:cs="Times New Roman"/>
                <w:sz w:val="24"/>
                <w:szCs w:val="24"/>
              </w:rPr>
              <w:t xml:space="preserve">орядка проведения антикоррупционной экспертизы </w:t>
            </w:r>
            <w:r w:rsidR="00B177E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Комитета государственного заказа Ленинградской области</w:t>
            </w:r>
            <w:proofErr w:type="gramEnd"/>
            <w:r w:rsidR="00AE6354" w:rsidRPr="00197B60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</w:t>
            </w:r>
            <w:r w:rsidR="00B177E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Комитета государственного заказа Ленинградской области</w:t>
            </w:r>
            <w:r w:rsidR="00197B60" w:rsidRPr="00197B60">
              <w:rPr>
                <w:rFonts w:ascii="Times New Roman" w:hAnsi="Times New Roman" w:cs="Times New Roman"/>
                <w:sz w:val="24"/>
                <w:szCs w:val="24"/>
              </w:rPr>
              <w:t xml:space="preserve"> и о признании утратившим силу приказа Комитета государственного заказа Ленингра</w:t>
            </w:r>
            <w:r w:rsidR="0038001E">
              <w:rPr>
                <w:rFonts w:ascii="Times New Roman" w:hAnsi="Times New Roman" w:cs="Times New Roman"/>
                <w:sz w:val="24"/>
                <w:szCs w:val="24"/>
              </w:rPr>
              <w:t xml:space="preserve">дской области от </w:t>
            </w:r>
            <w:r w:rsidR="009006D6">
              <w:rPr>
                <w:rFonts w:ascii="Times New Roman" w:hAnsi="Times New Roman" w:cs="Times New Roman"/>
                <w:sz w:val="24"/>
                <w:szCs w:val="24"/>
              </w:rPr>
              <w:t>28 сентября 2017 года № 16-п</w:t>
            </w:r>
            <w:r w:rsidR="00197B60" w:rsidRPr="00197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0985" w:rsidRPr="0019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70B00" w:rsidRPr="00197B60" w:rsidRDefault="00570B00" w:rsidP="00640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B00" w:rsidRDefault="00570B00" w:rsidP="00972908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7336D" w:rsidRPr="008334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 июля 2009 года № 172-ФЗ «Об </w:t>
      </w:r>
      <w:r w:rsidR="00833468" w:rsidRPr="00833468">
        <w:rPr>
          <w:rFonts w:ascii="Times New Roman" w:hAnsi="Times New Roman" w:cs="Times New Roman"/>
          <w:sz w:val="28"/>
          <w:szCs w:val="28"/>
        </w:rPr>
        <w:t>антикоррупционной</w:t>
      </w:r>
      <w:r w:rsidR="0047336D" w:rsidRPr="0083346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</w:t>
      </w:r>
      <w:r w:rsidR="00833468" w:rsidRPr="00833468">
        <w:rPr>
          <w:rFonts w:ascii="Times New Roman" w:hAnsi="Times New Roman" w:cs="Times New Roman"/>
          <w:sz w:val="28"/>
          <w:szCs w:val="28"/>
        </w:rPr>
        <w:t>ем</w:t>
      </w:r>
      <w:r w:rsidR="0047336D" w:rsidRPr="0083346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 w:rsidR="00833468" w:rsidRPr="00833468">
        <w:rPr>
          <w:rFonts w:ascii="Times New Roman" w:hAnsi="Times New Roman" w:cs="Times New Roman"/>
          <w:sz w:val="28"/>
          <w:szCs w:val="28"/>
        </w:rPr>
        <w:t xml:space="preserve"> от 23 ноября 2010 года № 310 «Об антикоррупционной экспертизе нормативных правовых актов Ленинградской области и проектов нормативных правовых актов</w:t>
      </w:r>
      <w:r w:rsidRPr="00833468">
        <w:rPr>
          <w:rFonts w:ascii="Times New Roman" w:hAnsi="Times New Roman" w:cs="Times New Roman"/>
          <w:sz w:val="28"/>
          <w:szCs w:val="28"/>
        </w:rPr>
        <w:t xml:space="preserve"> </w:t>
      </w:r>
      <w:r w:rsidR="00833468" w:rsidRPr="00833468">
        <w:rPr>
          <w:rFonts w:ascii="Times New Roman" w:hAnsi="Times New Roman" w:cs="Times New Roman"/>
          <w:sz w:val="28"/>
          <w:szCs w:val="28"/>
        </w:rPr>
        <w:t xml:space="preserve">Ленинградской области» </w:t>
      </w:r>
      <w:r w:rsidR="006A3D37">
        <w:rPr>
          <w:rFonts w:ascii="Times New Roman" w:hAnsi="Times New Roman" w:cs="Times New Roman"/>
          <w:sz w:val="28"/>
          <w:szCs w:val="28"/>
        </w:rPr>
        <w:t>ПРИКАЗЫВАЮ</w:t>
      </w:r>
      <w:r w:rsidRPr="00833468">
        <w:rPr>
          <w:rFonts w:ascii="Times New Roman" w:hAnsi="Times New Roman" w:cs="Times New Roman"/>
          <w:sz w:val="28"/>
          <w:szCs w:val="28"/>
        </w:rPr>
        <w:t>:</w:t>
      </w:r>
    </w:p>
    <w:p w:rsidR="00A477D9" w:rsidRDefault="00545815" w:rsidP="00506E01">
      <w:pPr>
        <w:pStyle w:val="a3"/>
        <w:widowControl w:val="0"/>
        <w:numPr>
          <w:ilvl w:val="0"/>
          <w:numId w:val="1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06E01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506E01" w:rsidRPr="00506E01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Комитета государственного заказа Ленинградской области</w:t>
      </w:r>
      <w:proofErr w:type="gramEnd"/>
      <w:r w:rsidR="00506E01" w:rsidRPr="00506E01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Комитета государственного заказа Ленинградской области</w:t>
      </w:r>
      <w:r w:rsidR="00236395" w:rsidRPr="004B2DF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477D9" w:rsidRPr="004B2DF5">
        <w:rPr>
          <w:rFonts w:ascii="Times New Roman" w:hAnsi="Times New Roman" w:cs="Times New Roman"/>
          <w:sz w:val="28"/>
          <w:szCs w:val="28"/>
        </w:rPr>
        <w:t>.</w:t>
      </w:r>
    </w:p>
    <w:p w:rsidR="00197B60" w:rsidRPr="004B2DF5" w:rsidRDefault="00197B60" w:rsidP="009006D6">
      <w:pPr>
        <w:pStyle w:val="a3"/>
        <w:widowControl w:val="0"/>
        <w:numPr>
          <w:ilvl w:val="0"/>
          <w:numId w:val="1"/>
        </w:numPr>
        <w:spacing w:after="0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197B60">
        <w:rPr>
          <w:rFonts w:ascii="Times New Roman" w:hAnsi="Times New Roman" w:cs="Times New Roman"/>
          <w:sz w:val="28"/>
          <w:szCs w:val="28"/>
        </w:rPr>
        <w:t xml:space="preserve">приказ Комитета государственного заказа Ленинградской области </w:t>
      </w:r>
      <w:r w:rsidR="009006D6" w:rsidRPr="009006D6">
        <w:rPr>
          <w:rFonts w:ascii="Times New Roman" w:hAnsi="Times New Roman" w:cs="Times New Roman"/>
          <w:sz w:val="28"/>
          <w:szCs w:val="28"/>
        </w:rPr>
        <w:t>от 28 сентября 2017 года № 16-п</w:t>
      </w:r>
      <w:r w:rsidRPr="00197B60">
        <w:rPr>
          <w:rFonts w:ascii="Times New Roman" w:hAnsi="Times New Roman" w:cs="Times New Roman"/>
          <w:sz w:val="28"/>
          <w:szCs w:val="28"/>
        </w:rPr>
        <w:t>.</w:t>
      </w:r>
    </w:p>
    <w:p w:rsidR="00570B00" w:rsidRPr="00050FA6" w:rsidRDefault="00972908" w:rsidP="00972908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0B00" w:rsidRPr="00050F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0B00" w:rsidRPr="00050F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0B00" w:rsidRPr="00050FA6">
        <w:rPr>
          <w:rFonts w:ascii="Times New Roman" w:hAnsi="Times New Roman" w:cs="Times New Roman"/>
          <w:sz w:val="28"/>
          <w:szCs w:val="28"/>
        </w:rPr>
        <w:t xml:space="preserve"> </w:t>
      </w:r>
      <w:r w:rsidR="00F51E63">
        <w:rPr>
          <w:rFonts w:ascii="Times New Roman" w:hAnsi="Times New Roman" w:cs="Times New Roman"/>
          <w:sz w:val="28"/>
          <w:szCs w:val="28"/>
        </w:rPr>
        <w:t>исполнением</w:t>
      </w:r>
      <w:r w:rsidR="00570B00" w:rsidRPr="00050FA6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 w:rsidR="009006D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97B60">
        <w:rPr>
          <w:rFonts w:ascii="Times New Roman" w:hAnsi="Times New Roman" w:cs="Times New Roman"/>
          <w:sz w:val="28"/>
          <w:szCs w:val="28"/>
        </w:rPr>
        <w:t>.</w:t>
      </w:r>
    </w:p>
    <w:p w:rsidR="00570B00" w:rsidRDefault="00570B00" w:rsidP="00972908">
      <w:pPr>
        <w:widowControl w:val="0"/>
        <w:spacing w:after="0"/>
        <w:ind w:firstLine="540"/>
        <w:jc w:val="both"/>
        <w:rPr>
          <w:sz w:val="28"/>
          <w:szCs w:val="28"/>
        </w:rPr>
      </w:pPr>
    </w:p>
    <w:p w:rsidR="00570B00" w:rsidRPr="00940FA0" w:rsidRDefault="00180985" w:rsidP="00570B0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570B00" w:rsidRPr="00940FA0">
        <w:rPr>
          <w:rFonts w:ascii="Times New Roman" w:hAnsi="Times New Roman" w:cs="Times New Roman"/>
          <w:sz w:val="28"/>
          <w:szCs w:val="28"/>
        </w:rPr>
        <w:t xml:space="preserve">омитета                        </w:t>
      </w:r>
      <w:r w:rsidR="00197B60">
        <w:rPr>
          <w:rFonts w:ascii="Times New Roman" w:hAnsi="Times New Roman" w:cs="Times New Roman"/>
          <w:sz w:val="28"/>
          <w:szCs w:val="28"/>
        </w:rPr>
        <w:t xml:space="preserve"> </w:t>
      </w:r>
      <w:r w:rsidR="00570B00" w:rsidRPr="00940F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0FA0" w:rsidRPr="00940FA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97B60">
        <w:rPr>
          <w:rFonts w:ascii="Times New Roman" w:hAnsi="Times New Roman" w:cs="Times New Roman"/>
          <w:sz w:val="28"/>
          <w:szCs w:val="28"/>
        </w:rPr>
        <w:t>А.Г. Клементьев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067F2" w:rsidRPr="007067F2" w:rsidTr="00AF569B">
        <w:tc>
          <w:tcPr>
            <w:tcW w:w="5210" w:type="dxa"/>
          </w:tcPr>
          <w:p w:rsidR="007067F2" w:rsidRPr="007067F2" w:rsidRDefault="007067F2" w:rsidP="00C47D5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B21D8B" w:rsidRDefault="00B21D8B" w:rsidP="00C47D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06D6" w:rsidRDefault="009006D6" w:rsidP="00C47D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06D6" w:rsidRDefault="009006D6" w:rsidP="00C47D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06D6" w:rsidRDefault="009006D6" w:rsidP="00C47D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1D8B" w:rsidRDefault="00B21D8B" w:rsidP="00C47D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</w:p>
          <w:p w:rsidR="007067F2" w:rsidRPr="00E6301C" w:rsidRDefault="00B21D8B" w:rsidP="00C47D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="007067F2" w:rsidRPr="00E63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="007067F2" w:rsidRPr="00E63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Комитета государственного заказа Ленинградской области </w:t>
            </w:r>
          </w:p>
          <w:p w:rsidR="007067F2" w:rsidRPr="00E6301C" w:rsidRDefault="007067F2" w:rsidP="007067F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900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 </w:t>
            </w:r>
            <w:r w:rsidR="00291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1B3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00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E63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 w:rsidR="00900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</w:t>
            </w:r>
          </w:p>
          <w:p w:rsidR="007067F2" w:rsidRPr="007067F2" w:rsidRDefault="007067F2" w:rsidP="007067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70B00" w:rsidRDefault="00570B00" w:rsidP="00C47D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7E9" w:rsidRPr="008769E4" w:rsidRDefault="00B177E9" w:rsidP="00B17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69E4">
        <w:rPr>
          <w:rFonts w:ascii="Times New Roman" w:hAnsi="Times New Roman" w:cs="Times New Roman"/>
          <w:sz w:val="28"/>
          <w:szCs w:val="28"/>
        </w:rPr>
        <w:t>ПОРЯДОК</w:t>
      </w:r>
    </w:p>
    <w:p w:rsidR="00B177E9" w:rsidRPr="008769E4" w:rsidRDefault="00B177E9" w:rsidP="00B17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69E4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</w:t>
      </w:r>
      <w:proofErr w:type="gramStart"/>
      <w:r w:rsidRPr="008769E4">
        <w:rPr>
          <w:rFonts w:ascii="Times New Roman" w:hAnsi="Times New Roman" w:cs="Times New Roman"/>
          <w:sz w:val="28"/>
          <w:szCs w:val="28"/>
        </w:rPr>
        <w:t>ЭКСПЕРТИЗЫ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9E4">
        <w:rPr>
          <w:rFonts w:ascii="Times New Roman" w:hAnsi="Times New Roman" w:cs="Times New Roman"/>
          <w:sz w:val="28"/>
          <w:szCs w:val="28"/>
        </w:rPr>
        <w:t>ПРАВОВЫХ АКТОВ КОМИТЕТА ГОСУДАРСТВЕННОГО ЗАКАЗА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9E4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9E4">
        <w:rPr>
          <w:rFonts w:ascii="Times New Roman" w:hAnsi="Times New Roman" w:cs="Times New Roman"/>
          <w:sz w:val="28"/>
          <w:szCs w:val="28"/>
        </w:rPr>
        <w:t>КОМИТЕТА ГОСУДАРСТВЕННОГО ЗАКАЗА ЛЕНИНГРАДСКОЙ ОБЛАСТИ</w:t>
      </w:r>
    </w:p>
    <w:p w:rsidR="00B177E9" w:rsidRPr="008769E4" w:rsidRDefault="00B177E9" w:rsidP="00B177E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4E3D" w:rsidRPr="00B62FC9" w:rsidRDefault="009C4E3D" w:rsidP="009C4E3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C9">
        <w:rPr>
          <w:rFonts w:ascii="Times New Roman" w:hAnsi="Times New Roman" w:cs="Times New Roman"/>
          <w:sz w:val="28"/>
          <w:szCs w:val="28"/>
        </w:rPr>
        <w:t xml:space="preserve">1. Общие </w:t>
      </w:r>
      <w:r w:rsidRPr="00B62FC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</w:p>
    <w:p w:rsidR="009C4E3D" w:rsidRPr="00B62FC9" w:rsidRDefault="009C4E3D" w:rsidP="00B62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B62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62FC9" w:rsidRPr="00B62FC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62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в соответствии с Федеральным </w:t>
      </w:r>
      <w:hyperlink r:id="rId8" w:history="1">
        <w:r w:rsidRPr="00B62F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62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 июля 2009 года №</w:t>
      </w:r>
      <w:r w:rsidRPr="00B62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</w:t>
      </w:r>
      <w:r w:rsidR="00B62FC9" w:rsidRPr="00B62FC9">
        <w:rPr>
          <w:rFonts w:ascii="Times New Roman" w:hAnsi="Times New Roman" w:cs="Times New Roman"/>
          <w:color w:val="000000" w:themeColor="text1"/>
          <w:sz w:val="28"/>
          <w:szCs w:val="28"/>
        </w:rPr>
        <w:t>-ФЗ «</w:t>
      </w:r>
      <w:r w:rsidRPr="00B62FC9">
        <w:rPr>
          <w:rFonts w:ascii="Times New Roman" w:hAnsi="Times New Roman" w:cs="Times New Roman"/>
          <w:color w:val="000000" w:themeColor="text1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B62FC9" w:rsidRPr="00B62FC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62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регулирует проведение антикоррупционной экспертизы </w:t>
      </w:r>
      <w:r w:rsidRPr="00B62FC9">
        <w:rPr>
          <w:rFonts w:ascii="Times New Roman" w:hAnsi="Times New Roman" w:cs="Times New Roman"/>
          <w:sz w:val="28"/>
          <w:szCs w:val="28"/>
        </w:rPr>
        <w:t xml:space="preserve">приказов </w:t>
      </w:r>
      <w:r w:rsidR="00B312FA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Pr="00B62FC9">
        <w:rPr>
          <w:rFonts w:ascii="Times New Roman" w:hAnsi="Times New Roman" w:cs="Times New Roman"/>
          <w:sz w:val="28"/>
          <w:szCs w:val="28"/>
        </w:rPr>
        <w:t xml:space="preserve"> Ленинградской области и проектов приказов </w:t>
      </w:r>
      <w:r w:rsidR="00B312FA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B312FA" w:rsidRPr="00B62FC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B62FC9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proofErr w:type="spellStart"/>
      <w:r w:rsidRPr="00B62FC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62FC9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</w:t>
      </w:r>
      <w:proofErr w:type="gramEnd"/>
      <w:r w:rsidRPr="00B62FC9">
        <w:rPr>
          <w:rFonts w:ascii="Times New Roman" w:hAnsi="Times New Roman" w:cs="Times New Roman"/>
          <w:sz w:val="28"/>
          <w:szCs w:val="28"/>
        </w:rPr>
        <w:t xml:space="preserve"> экспертизы приказов </w:t>
      </w:r>
      <w:r w:rsidR="00B312FA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B312FA" w:rsidRPr="00B62FC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B62FC9">
        <w:rPr>
          <w:rFonts w:ascii="Times New Roman" w:hAnsi="Times New Roman" w:cs="Times New Roman"/>
          <w:sz w:val="28"/>
          <w:szCs w:val="28"/>
        </w:rPr>
        <w:t xml:space="preserve">и проектов приказов </w:t>
      </w:r>
      <w:r w:rsidR="00B312FA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B312FA" w:rsidRPr="00B62FC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B62FC9">
        <w:rPr>
          <w:rFonts w:ascii="Times New Roman" w:hAnsi="Times New Roman" w:cs="Times New Roman"/>
          <w:sz w:val="28"/>
          <w:szCs w:val="28"/>
        </w:rPr>
        <w:t>.</w:t>
      </w:r>
    </w:p>
    <w:p w:rsidR="009C4E3D" w:rsidRPr="00B62FC9" w:rsidRDefault="009C4E3D" w:rsidP="00B62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C9">
        <w:rPr>
          <w:rFonts w:ascii="Times New Roman" w:hAnsi="Times New Roman" w:cs="Times New Roman"/>
          <w:sz w:val="28"/>
          <w:szCs w:val="28"/>
        </w:rPr>
        <w:t xml:space="preserve">1.2. В целях настоящего </w:t>
      </w:r>
      <w:r w:rsidR="00B62FC9">
        <w:rPr>
          <w:rFonts w:ascii="Times New Roman" w:hAnsi="Times New Roman" w:cs="Times New Roman"/>
          <w:sz w:val="28"/>
          <w:szCs w:val="28"/>
        </w:rPr>
        <w:t>П</w:t>
      </w:r>
      <w:r w:rsidRPr="00B62FC9">
        <w:rPr>
          <w:rFonts w:ascii="Times New Roman" w:hAnsi="Times New Roman" w:cs="Times New Roman"/>
          <w:sz w:val="28"/>
          <w:szCs w:val="28"/>
        </w:rPr>
        <w:t>орядка применяются следующие понятия:</w:t>
      </w:r>
    </w:p>
    <w:p w:rsidR="009C4E3D" w:rsidRPr="00B62FC9" w:rsidRDefault="009C4E3D" w:rsidP="00B62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C9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приказах </w:t>
      </w:r>
      <w:r w:rsidR="00B62FC9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Pr="00B62FC9">
        <w:rPr>
          <w:rFonts w:ascii="Times New Roman" w:hAnsi="Times New Roman" w:cs="Times New Roman"/>
          <w:sz w:val="28"/>
          <w:szCs w:val="28"/>
        </w:rPr>
        <w:t xml:space="preserve"> Ленинградской области и проектах приказов </w:t>
      </w:r>
      <w:r w:rsidR="00B62FC9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B62FC9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B62FC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spellStart"/>
      <w:r w:rsidRPr="00B62FC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62FC9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9C4E3D" w:rsidRPr="00B62FC9" w:rsidRDefault="009C4E3D" w:rsidP="00B62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C9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</w:t>
      </w:r>
      <w:proofErr w:type="gramStart"/>
      <w:r w:rsidRPr="00B62FC9">
        <w:rPr>
          <w:rFonts w:ascii="Times New Roman" w:hAnsi="Times New Roman" w:cs="Times New Roman"/>
          <w:sz w:val="28"/>
          <w:szCs w:val="28"/>
        </w:rPr>
        <w:t xml:space="preserve">экспертизы приказа </w:t>
      </w:r>
      <w:r w:rsidR="00B62FC9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B62FC9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B62FC9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 w:rsidRPr="00B62FC9">
        <w:rPr>
          <w:rFonts w:ascii="Times New Roman" w:hAnsi="Times New Roman" w:cs="Times New Roman"/>
          <w:sz w:val="28"/>
          <w:szCs w:val="28"/>
        </w:rPr>
        <w:t xml:space="preserve"> или проекта приказа </w:t>
      </w:r>
      <w:r w:rsidR="00B62FC9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B62FC9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B62FC9"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:rsidR="009C4E3D" w:rsidRPr="00B62FC9" w:rsidRDefault="009C4E3D" w:rsidP="00B62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C9">
        <w:rPr>
          <w:rFonts w:ascii="Times New Roman" w:hAnsi="Times New Roman" w:cs="Times New Roman"/>
          <w:sz w:val="28"/>
          <w:szCs w:val="28"/>
        </w:rPr>
        <w:t>сеть Интернет - информационно-телекоммуникационная сеть "Интернет".</w:t>
      </w:r>
    </w:p>
    <w:p w:rsidR="009C4E3D" w:rsidRDefault="009C4E3D" w:rsidP="009C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4E3D" w:rsidRPr="00B62FC9" w:rsidRDefault="009C4E3D" w:rsidP="009C4E3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C9">
        <w:rPr>
          <w:rFonts w:ascii="Times New Roman" w:hAnsi="Times New Roman" w:cs="Times New Roman"/>
          <w:sz w:val="28"/>
          <w:szCs w:val="28"/>
        </w:rPr>
        <w:t xml:space="preserve">2. Порядок </w:t>
      </w:r>
      <w:proofErr w:type="gramStart"/>
      <w:r w:rsidRPr="00B62FC9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проектов приказов </w:t>
      </w:r>
      <w:r w:rsidR="003C09E6" w:rsidRPr="003C09E6">
        <w:rPr>
          <w:rFonts w:ascii="Times New Roman" w:hAnsi="Times New Roman" w:cs="Times New Roman"/>
          <w:sz w:val="28"/>
          <w:szCs w:val="28"/>
        </w:rPr>
        <w:t xml:space="preserve">Комитета государственного заказа </w:t>
      </w:r>
      <w:r w:rsidRPr="00B62FC9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</w:p>
    <w:p w:rsidR="009C4E3D" w:rsidRPr="00B62FC9" w:rsidRDefault="009C4E3D" w:rsidP="003C0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C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62FC9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приказов </w:t>
      </w:r>
      <w:r w:rsidR="003C09E6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3C09E6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B62FC9">
        <w:rPr>
          <w:rFonts w:ascii="Times New Roman" w:hAnsi="Times New Roman" w:cs="Times New Roman"/>
          <w:sz w:val="28"/>
          <w:szCs w:val="28"/>
        </w:rPr>
        <w:t xml:space="preserve">Ленинградской области проводится при осуществлении их правовой (юридической) экспертизы в соответствии </w:t>
      </w:r>
      <w:r w:rsidRPr="003C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9" w:history="1">
        <w:r w:rsidRPr="003C09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Pr="00B62FC9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3C09E6">
        <w:rPr>
          <w:rFonts w:ascii="Times New Roman" w:hAnsi="Times New Roman" w:cs="Times New Roman"/>
          <w:sz w:val="28"/>
          <w:szCs w:val="28"/>
        </w:rPr>
        <w:t>№</w:t>
      </w:r>
      <w:r w:rsidRPr="00B62FC9">
        <w:rPr>
          <w:rFonts w:ascii="Times New Roman" w:hAnsi="Times New Roman" w:cs="Times New Roman"/>
          <w:sz w:val="28"/>
          <w:szCs w:val="28"/>
        </w:rPr>
        <w:t xml:space="preserve"> 96 </w:t>
      </w:r>
      <w:r w:rsidR="003C09E6">
        <w:rPr>
          <w:rFonts w:ascii="Times New Roman" w:hAnsi="Times New Roman" w:cs="Times New Roman"/>
          <w:sz w:val="28"/>
          <w:szCs w:val="28"/>
        </w:rPr>
        <w:t>«</w:t>
      </w:r>
      <w:r w:rsidRPr="00B62FC9">
        <w:rPr>
          <w:rFonts w:ascii="Times New Roman" w:hAnsi="Times New Roman" w:cs="Times New Roman"/>
          <w:sz w:val="28"/>
          <w:szCs w:val="28"/>
        </w:rPr>
        <w:t xml:space="preserve">Об антикоррупционной </w:t>
      </w:r>
      <w:r w:rsidRPr="00B62FC9">
        <w:rPr>
          <w:rFonts w:ascii="Times New Roman" w:hAnsi="Times New Roman" w:cs="Times New Roman"/>
          <w:sz w:val="28"/>
          <w:szCs w:val="28"/>
        </w:rPr>
        <w:lastRenderedPageBreak/>
        <w:t>экспертизе нормативных правовых актов и проектов нормативных правовых актов</w:t>
      </w:r>
      <w:r w:rsidR="003C09E6">
        <w:rPr>
          <w:rFonts w:ascii="Times New Roman" w:hAnsi="Times New Roman" w:cs="Times New Roman"/>
          <w:sz w:val="28"/>
          <w:szCs w:val="28"/>
        </w:rPr>
        <w:t>»</w:t>
      </w:r>
      <w:r w:rsidRPr="00B62FC9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  <w:proofErr w:type="gramEnd"/>
    </w:p>
    <w:p w:rsidR="009C4E3D" w:rsidRPr="000D79EE" w:rsidRDefault="009C4E3D" w:rsidP="000D7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E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0D79EE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приказов </w:t>
      </w:r>
      <w:r w:rsidR="000D79E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0D79E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0D79EE">
        <w:rPr>
          <w:rFonts w:ascii="Times New Roman" w:hAnsi="Times New Roman" w:cs="Times New Roman"/>
          <w:sz w:val="28"/>
          <w:szCs w:val="28"/>
        </w:rPr>
        <w:t xml:space="preserve">Ленинградской области проводится правовой (юридической) службой </w:t>
      </w:r>
      <w:r w:rsidR="000D79E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0D79E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0D79EE">
        <w:rPr>
          <w:rFonts w:ascii="Times New Roman" w:hAnsi="Times New Roman" w:cs="Times New Roman"/>
          <w:sz w:val="28"/>
          <w:szCs w:val="28"/>
        </w:rPr>
        <w:t xml:space="preserve">Ленинградской области, являющегося разработчиком проектов приказов, а при ее отсутствии - государственным гражданским служащим, в должностные обязанности которого входит правовое (юридическое) сопровождение деятельности </w:t>
      </w:r>
      <w:r w:rsidR="000D79E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0D79E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0D79EE">
        <w:rPr>
          <w:rFonts w:ascii="Times New Roman" w:hAnsi="Times New Roman" w:cs="Times New Roman"/>
          <w:sz w:val="28"/>
          <w:szCs w:val="28"/>
        </w:rPr>
        <w:t xml:space="preserve">Ленинградской области, или иным государственным гражданским служащим, назначенным </w:t>
      </w:r>
      <w:r w:rsidR="000D79EE">
        <w:rPr>
          <w:rFonts w:ascii="Times New Roman" w:hAnsi="Times New Roman" w:cs="Times New Roman"/>
          <w:sz w:val="28"/>
          <w:szCs w:val="28"/>
        </w:rPr>
        <w:t>председателем</w:t>
      </w:r>
      <w:r w:rsidRPr="000D79EE">
        <w:rPr>
          <w:rFonts w:ascii="Times New Roman" w:hAnsi="Times New Roman" w:cs="Times New Roman"/>
          <w:sz w:val="28"/>
          <w:szCs w:val="28"/>
        </w:rPr>
        <w:t xml:space="preserve"> </w:t>
      </w:r>
      <w:r w:rsidR="000D79E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Pr="000D79EE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  <w:proofErr w:type="gramEnd"/>
    </w:p>
    <w:p w:rsidR="009C4E3D" w:rsidRPr="000D79EE" w:rsidRDefault="009C4E3D" w:rsidP="000D7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EE">
        <w:rPr>
          <w:rFonts w:ascii="Times New Roman" w:hAnsi="Times New Roman" w:cs="Times New Roman"/>
          <w:sz w:val="28"/>
          <w:szCs w:val="28"/>
        </w:rPr>
        <w:t xml:space="preserve">2.3. Срок </w:t>
      </w:r>
      <w:proofErr w:type="gramStart"/>
      <w:r w:rsidRPr="000D79EE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проектов приказов </w:t>
      </w:r>
      <w:r w:rsidR="009E2D5B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9E2D5B" w:rsidRPr="00B62FC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proofErr w:type="gramEnd"/>
      <w:r w:rsidR="009E2D5B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0D79EE">
        <w:rPr>
          <w:rFonts w:ascii="Times New Roman" w:hAnsi="Times New Roman" w:cs="Times New Roman"/>
          <w:sz w:val="28"/>
          <w:szCs w:val="28"/>
        </w:rPr>
        <w:t>составляет не более пяти дней.</w:t>
      </w:r>
    </w:p>
    <w:p w:rsidR="009C4E3D" w:rsidRPr="000D79EE" w:rsidRDefault="009C4E3D" w:rsidP="000D7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EE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0D79EE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проектов приказов </w:t>
      </w:r>
      <w:r w:rsidR="000D79E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0D79E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0D79EE">
        <w:rPr>
          <w:rFonts w:ascii="Times New Roman" w:hAnsi="Times New Roman" w:cs="Times New Roman"/>
          <w:sz w:val="28"/>
          <w:szCs w:val="28"/>
        </w:rPr>
        <w:t xml:space="preserve">Ленинградской области правовая (юридическая) служба </w:t>
      </w:r>
      <w:r w:rsidR="000D79E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0D79E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0D79EE">
        <w:rPr>
          <w:rFonts w:ascii="Times New Roman" w:hAnsi="Times New Roman" w:cs="Times New Roman"/>
          <w:sz w:val="28"/>
          <w:szCs w:val="28"/>
        </w:rPr>
        <w:t xml:space="preserve">Ленинградской области, являющегося разработчиком проектов приказов, а при ее отсутствии - государственный гражданский служащий, в должностные обязанности которого входит правовое (юридическое) сопровождение деятельности </w:t>
      </w:r>
      <w:r w:rsidR="000D79E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Pr="000D79EE">
        <w:rPr>
          <w:rFonts w:ascii="Times New Roman" w:hAnsi="Times New Roman" w:cs="Times New Roman"/>
          <w:sz w:val="28"/>
          <w:szCs w:val="28"/>
        </w:rPr>
        <w:t xml:space="preserve"> Ленинградской области, или иной государственный гражданский служащий, назначенный </w:t>
      </w:r>
      <w:r w:rsidR="000D79EE">
        <w:rPr>
          <w:rFonts w:ascii="Times New Roman" w:hAnsi="Times New Roman" w:cs="Times New Roman"/>
          <w:sz w:val="28"/>
          <w:szCs w:val="28"/>
        </w:rPr>
        <w:t>председателем Комитета государственного заказа</w:t>
      </w:r>
      <w:r w:rsidRPr="000D79EE">
        <w:rPr>
          <w:rFonts w:ascii="Times New Roman" w:hAnsi="Times New Roman" w:cs="Times New Roman"/>
          <w:sz w:val="28"/>
          <w:szCs w:val="28"/>
        </w:rPr>
        <w:t xml:space="preserve"> Ленинградской области, проводившие антикоррупционную экспертизу</w:t>
      </w:r>
      <w:proofErr w:type="gramEnd"/>
      <w:r w:rsidRPr="000D79EE">
        <w:rPr>
          <w:rFonts w:ascii="Times New Roman" w:hAnsi="Times New Roman" w:cs="Times New Roman"/>
          <w:sz w:val="28"/>
          <w:szCs w:val="28"/>
        </w:rPr>
        <w:t>, подготавливают экспертное заключение, которое должно содержать следующие сведения:</w:t>
      </w:r>
    </w:p>
    <w:p w:rsidR="009C4E3D" w:rsidRPr="000D79EE" w:rsidRDefault="009C4E3D" w:rsidP="000D7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EE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9C4E3D" w:rsidRPr="000D79EE" w:rsidRDefault="009C4E3D" w:rsidP="000D7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EE">
        <w:rPr>
          <w:rFonts w:ascii="Times New Roman" w:hAnsi="Times New Roman" w:cs="Times New Roman"/>
          <w:sz w:val="28"/>
          <w:szCs w:val="28"/>
        </w:rPr>
        <w:t xml:space="preserve">наименование проекта приказа </w:t>
      </w:r>
      <w:r w:rsidR="000D79E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0D79E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0D79EE">
        <w:rPr>
          <w:rFonts w:ascii="Times New Roman" w:hAnsi="Times New Roman" w:cs="Times New Roman"/>
          <w:sz w:val="28"/>
          <w:szCs w:val="28"/>
        </w:rPr>
        <w:t>Ленинградской области, прошедшего антикоррупционную экспертизу;</w:t>
      </w:r>
    </w:p>
    <w:p w:rsidR="009C4E3D" w:rsidRPr="000D79EE" w:rsidRDefault="009C4E3D" w:rsidP="000D7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EE">
        <w:rPr>
          <w:rFonts w:ascii="Times New Roman" w:hAnsi="Times New Roman" w:cs="Times New Roman"/>
          <w:sz w:val="28"/>
          <w:szCs w:val="28"/>
        </w:rPr>
        <w:t xml:space="preserve">положения проекта приказа </w:t>
      </w:r>
      <w:r w:rsidR="000D79E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0D79E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0D79EE">
        <w:rPr>
          <w:rFonts w:ascii="Times New Roman" w:hAnsi="Times New Roman" w:cs="Times New Roman"/>
          <w:sz w:val="28"/>
          <w:szCs w:val="28"/>
        </w:rPr>
        <w:t xml:space="preserve">Ленинградской области, содержащие </w:t>
      </w:r>
      <w:proofErr w:type="spellStart"/>
      <w:r w:rsidRPr="000D79E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D79EE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9C4E3D" w:rsidRPr="000D79EE" w:rsidRDefault="009C4E3D" w:rsidP="000D7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EE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приказа </w:t>
      </w:r>
      <w:r w:rsidR="000D79E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0D79E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0D79EE">
        <w:rPr>
          <w:rFonts w:ascii="Times New Roman" w:hAnsi="Times New Roman" w:cs="Times New Roman"/>
          <w:sz w:val="28"/>
          <w:szCs w:val="28"/>
        </w:rPr>
        <w:t xml:space="preserve">Ленинградской области положений, содержащих </w:t>
      </w:r>
      <w:proofErr w:type="spellStart"/>
      <w:r w:rsidRPr="000D79E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D79EE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9C4E3D" w:rsidRPr="000D79EE" w:rsidRDefault="009C4E3D" w:rsidP="000D7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EE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приказа </w:t>
      </w:r>
      <w:r w:rsidR="005A6CC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5A6CC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0D79EE">
        <w:rPr>
          <w:rFonts w:ascii="Times New Roman" w:hAnsi="Times New Roman" w:cs="Times New Roman"/>
          <w:sz w:val="28"/>
          <w:szCs w:val="28"/>
        </w:rPr>
        <w:t xml:space="preserve">Ленинградской области положений, содержащих </w:t>
      </w:r>
      <w:proofErr w:type="spellStart"/>
      <w:r w:rsidRPr="000D79E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D79EE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0D79EE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0D79EE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9C4E3D" w:rsidRPr="005A6CCE" w:rsidRDefault="009C4E3D" w:rsidP="005A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EE">
        <w:rPr>
          <w:rFonts w:ascii="Times New Roman" w:hAnsi="Times New Roman" w:cs="Times New Roman"/>
          <w:sz w:val="28"/>
          <w:szCs w:val="28"/>
        </w:rPr>
        <w:t xml:space="preserve">2.5. Экспертное заключение подписывается </w:t>
      </w:r>
      <w:r w:rsidR="005A6CCE">
        <w:rPr>
          <w:rFonts w:ascii="Times New Roman" w:hAnsi="Times New Roman" w:cs="Times New Roman"/>
          <w:sz w:val="28"/>
          <w:szCs w:val="28"/>
        </w:rPr>
        <w:t>председателем</w:t>
      </w:r>
      <w:r w:rsidRPr="000D79EE">
        <w:rPr>
          <w:rFonts w:ascii="Times New Roman" w:hAnsi="Times New Roman" w:cs="Times New Roman"/>
          <w:sz w:val="28"/>
          <w:szCs w:val="28"/>
        </w:rPr>
        <w:t xml:space="preserve"> </w:t>
      </w:r>
      <w:r w:rsidR="005A6CC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5A6CC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0D79EE">
        <w:rPr>
          <w:rFonts w:ascii="Times New Roman" w:hAnsi="Times New Roman" w:cs="Times New Roman"/>
          <w:sz w:val="28"/>
          <w:szCs w:val="28"/>
        </w:rPr>
        <w:t xml:space="preserve">Ленинградской области, являющегося разработчиком соответствующего </w:t>
      </w:r>
      <w:proofErr w:type="gramStart"/>
      <w:r w:rsidRPr="000D79EE">
        <w:rPr>
          <w:rFonts w:ascii="Times New Roman" w:hAnsi="Times New Roman" w:cs="Times New Roman"/>
          <w:sz w:val="28"/>
          <w:szCs w:val="28"/>
        </w:rPr>
        <w:t xml:space="preserve">проекта приказа </w:t>
      </w:r>
      <w:r w:rsidR="005A6CC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5A6CC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5A6CCE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 w:rsidRPr="005A6CCE">
        <w:rPr>
          <w:rFonts w:ascii="Times New Roman" w:hAnsi="Times New Roman" w:cs="Times New Roman"/>
          <w:sz w:val="28"/>
          <w:szCs w:val="28"/>
        </w:rPr>
        <w:t>.</w:t>
      </w:r>
    </w:p>
    <w:p w:rsidR="009C4E3D" w:rsidRPr="005A6CCE" w:rsidRDefault="009C4E3D" w:rsidP="005A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CCE">
        <w:rPr>
          <w:rFonts w:ascii="Times New Roman" w:hAnsi="Times New Roman" w:cs="Times New Roman"/>
          <w:sz w:val="28"/>
          <w:szCs w:val="28"/>
        </w:rPr>
        <w:t xml:space="preserve">2.6. Положения проекта приказа </w:t>
      </w:r>
      <w:r w:rsidR="005A6CC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5A6CC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5A6CCE">
        <w:rPr>
          <w:rFonts w:ascii="Times New Roman" w:hAnsi="Times New Roman" w:cs="Times New Roman"/>
          <w:sz w:val="28"/>
          <w:szCs w:val="28"/>
        </w:rPr>
        <w:t xml:space="preserve">Ленинградской области, содержащие </w:t>
      </w:r>
      <w:proofErr w:type="spellStart"/>
      <w:r w:rsidRPr="005A6CC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A6CCE">
        <w:rPr>
          <w:rFonts w:ascii="Times New Roman" w:hAnsi="Times New Roman" w:cs="Times New Roman"/>
          <w:sz w:val="28"/>
          <w:szCs w:val="28"/>
        </w:rPr>
        <w:t xml:space="preserve"> факторы, а также </w:t>
      </w:r>
      <w:r w:rsidRPr="005A6CCE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</w:t>
      </w:r>
      <w:proofErr w:type="gramStart"/>
      <w:r w:rsidRPr="005A6CCE">
        <w:rPr>
          <w:rFonts w:ascii="Times New Roman" w:hAnsi="Times New Roman" w:cs="Times New Roman"/>
          <w:sz w:val="28"/>
          <w:szCs w:val="28"/>
        </w:rPr>
        <w:t xml:space="preserve">проекта приказа </w:t>
      </w:r>
      <w:r w:rsidR="005A6CC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5A6CC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5A6CCE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 w:rsidRPr="005A6CCE">
        <w:rPr>
          <w:rFonts w:ascii="Times New Roman" w:hAnsi="Times New Roman" w:cs="Times New Roman"/>
          <w:sz w:val="28"/>
          <w:szCs w:val="28"/>
        </w:rPr>
        <w:t xml:space="preserve"> на стадии его доработки.</w:t>
      </w:r>
    </w:p>
    <w:p w:rsidR="009C4E3D" w:rsidRPr="005A6CCE" w:rsidRDefault="009C4E3D" w:rsidP="005A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E3D" w:rsidRPr="005A6CCE" w:rsidRDefault="009C4E3D" w:rsidP="005A6CC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CCE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5A6CCE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приказов </w:t>
      </w:r>
      <w:r w:rsidR="007115A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7115AE" w:rsidRPr="00B62FC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proofErr w:type="gramEnd"/>
    </w:p>
    <w:p w:rsidR="009C4E3D" w:rsidRPr="005A6CCE" w:rsidRDefault="009C4E3D" w:rsidP="005A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E3D" w:rsidRPr="005A6CCE" w:rsidRDefault="009C4E3D" w:rsidP="005A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CC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A6CCE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приказов </w:t>
      </w:r>
      <w:r w:rsidR="005A6CC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5A6CC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5A6CCE">
        <w:rPr>
          <w:rFonts w:ascii="Times New Roman" w:hAnsi="Times New Roman" w:cs="Times New Roman"/>
          <w:sz w:val="28"/>
          <w:szCs w:val="28"/>
        </w:rPr>
        <w:t xml:space="preserve">Ленинградской области проводится правовой (юридической) службой </w:t>
      </w:r>
      <w:r w:rsidR="005A6CC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Pr="005A6CCE">
        <w:rPr>
          <w:rFonts w:ascii="Times New Roman" w:hAnsi="Times New Roman" w:cs="Times New Roman"/>
          <w:sz w:val="28"/>
          <w:szCs w:val="28"/>
        </w:rPr>
        <w:t xml:space="preserve"> Ленинградской области, являющегося разработчиком приказов, а при ее отсутствии - государственным гражданским служащим, в должностные обязанности которого входит правовое (юридическое) сопровождение деятельности </w:t>
      </w:r>
      <w:r w:rsidR="005A6CC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5A6CCE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5A6CCE">
        <w:rPr>
          <w:rFonts w:ascii="Times New Roman" w:hAnsi="Times New Roman" w:cs="Times New Roman"/>
          <w:sz w:val="28"/>
          <w:szCs w:val="28"/>
        </w:rPr>
        <w:t xml:space="preserve">Ленинградской области, или иным государственным гражданским служащим, назначенным </w:t>
      </w:r>
      <w:r w:rsidR="005A6CCE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5A6CCE" w:rsidRPr="00730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государственного заказа </w:t>
      </w:r>
      <w:r w:rsidRPr="007304E6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области, при проведении их правовой (юридической) экспертизы и</w:t>
      </w:r>
      <w:proofErr w:type="gramEnd"/>
      <w:r w:rsidRPr="00730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304E6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мониторинге</w:t>
      </w:r>
      <w:proofErr w:type="gramEnd"/>
      <w:r w:rsidRPr="00730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применения в соответствии с </w:t>
      </w:r>
      <w:hyperlink r:id="rId10" w:history="1">
        <w:r w:rsidRPr="007304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Pr="007304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4E3D" w:rsidRPr="005A6CCE" w:rsidRDefault="009C4E3D" w:rsidP="00730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CCE">
        <w:rPr>
          <w:rFonts w:ascii="Times New Roman" w:hAnsi="Times New Roman" w:cs="Times New Roman"/>
          <w:sz w:val="28"/>
          <w:szCs w:val="28"/>
        </w:rPr>
        <w:t>3.</w:t>
      </w:r>
      <w:r w:rsidR="007304E6">
        <w:rPr>
          <w:rFonts w:ascii="Times New Roman" w:hAnsi="Times New Roman" w:cs="Times New Roman"/>
          <w:sz w:val="28"/>
          <w:szCs w:val="28"/>
        </w:rPr>
        <w:t>2</w:t>
      </w:r>
      <w:r w:rsidRPr="005A6C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6CCE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приказа </w:t>
      </w:r>
      <w:r w:rsidR="007304E6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7304E6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5A6CCE">
        <w:rPr>
          <w:rFonts w:ascii="Times New Roman" w:hAnsi="Times New Roman" w:cs="Times New Roman"/>
          <w:sz w:val="28"/>
          <w:szCs w:val="28"/>
        </w:rPr>
        <w:t xml:space="preserve">Ленинградской области правовая (юридическая) служба </w:t>
      </w:r>
      <w:r w:rsidR="007304E6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7304E6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5A6CCE">
        <w:rPr>
          <w:rFonts w:ascii="Times New Roman" w:hAnsi="Times New Roman" w:cs="Times New Roman"/>
          <w:sz w:val="28"/>
          <w:szCs w:val="28"/>
        </w:rPr>
        <w:t xml:space="preserve">Ленинградской области, являющегося разработчиком приказа, а при ее отсутствии - государственный гражданский служащий, в должностные обязанности которого входит правовое (юридическое) сопровождение деятельности </w:t>
      </w:r>
      <w:r w:rsidR="007304E6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7304E6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5A6CCE">
        <w:rPr>
          <w:rFonts w:ascii="Times New Roman" w:hAnsi="Times New Roman" w:cs="Times New Roman"/>
          <w:sz w:val="28"/>
          <w:szCs w:val="28"/>
        </w:rPr>
        <w:t xml:space="preserve">Ленинградской области, или иной государственный гражданский служащий, назначенный </w:t>
      </w:r>
      <w:r w:rsidR="007304E6">
        <w:rPr>
          <w:rFonts w:ascii="Times New Roman" w:hAnsi="Times New Roman" w:cs="Times New Roman"/>
          <w:sz w:val="28"/>
          <w:szCs w:val="28"/>
        </w:rPr>
        <w:t>председателем</w:t>
      </w:r>
      <w:r w:rsidRPr="005A6CCE">
        <w:rPr>
          <w:rFonts w:ascii="Times New Roman" w:hAnsi="Times New Roman" w:cs="Times New Roman"/>
          <w:sz w:val="28"/>
          <w:szCs w:val="28"/>
        </w:rPr>
        <w:t xml:space="preserve"> </w:t>
      </w:r>
      <w:r w:rsidR="007304E6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7304E6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5A6CCE">
        <w:rPr>
          <w:rFonts w:ascii="Times New Roman" w:hAnsi="Times New Roman" w:cs="Times New Roman"/>
          <w:sz w:val="28"/>
          <w:szCs w:val="28"/>
        </w:rPr>
        <w:t>Ленинградской области, подготавливает экспертное заключение, которое должно</w:t>
      </w:r>
      <w:proofErr w:type="gramEnd"/>
      <w:r w:rsidRPr="005A6CCE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9C4E3D" w:rsidRPr="005A6CCE" w:rsidRDefault="009C4E3D" w:rsidP="00730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CCE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9C4E3D" w:rsidRPr="005A6CCE" w:rsidRDefault="009C4E3D" w:rsidP="00730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CCE">
        <w:rPr>
          <w:rFonts w:ascii="Times New Roman" w:hAnsi="Times New Roman" w:cs="Times New Roman"/>
          <w:sz w:val="28"/>
          <w:szCs w:val="28"/>
        </w:rPr>
        <w:t xml:space="preserve">дата принятия (издания), номер, наименование приказа </w:t>
      </w:r>
      <w:r w:rsidR="007304E6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Pr="005A6CCE">
        <w:rPr>
          <w:rFonts w:ascii="Times New Roman" w:hAnsi="Times New Roman" w:cs="Times New Roman"/>
          <w:sz w:val="28"/>
          <w:szCs w:val="28"/>
        </w:rPr>
        <w:t xml:space="preserve"> Ленинградской области, являющегося объектом антикоррупционной экспертизы;</w:t>
      </w:r>
    </w:p>
    <w:p w:rsidR="009C4E3D" w:rsidRPr="007304E6" w:rsidRDefault="009C4E3D" w:rsidP="00730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CCE">
        <w:rPr>
          <w:rFonts w:ascii="Times New Roman" w:hAnsi="Times New Roman" w:cs="Times New Roman"/>
          <w:sz w:val="28"/>
          <w:szCs w:val="28"/>
        </w:rPr>
        <w:t xml:space="preserve">положения приказа </w:t>
      </w:r>
      <w:r w:rsidR="007304E6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7304E6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5A6CCE">
        <w:rPr>
          <w:rFonts w:ascii="Times New Roman" w:hAnsi="Times New Roman" w:cs="Times New Roman"/>
          <w:sz w:val="28"/>
          <w:szCs w:val="28"/>
        </w:rPr>
        <w:t>Ленинградской области, содержа</w:t>
      </w:r>
      <w:r w:rsidRPr="007304E6">
        <w:rPr>
          <w:rFonts w:ascii="Times New Roman" w:hAnsi="Times New Roman" w:cs="Times New Roman"/>
          <w:sz w:val="28"/>
          <w:szCs w:val="28"/>
        </w:rPr>
        <w:t xml:space="preserve">щие </w:t>
      </w:r>
      <w:proofErr w:type="spellStart"/>
      <w:r w:rsidRPr="007304E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304E6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9C4E3D" w:rsidRPr="007304E6" w:rsidRDefault="009C4E3D" w:rsidP="00730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4E6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приказе </w:t>
      </w:r>
      <w:r w:rsidR="007304E6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Pr="007304E6">
        <w:rPr>
          <w:rFonts w:ascii="Times New Roman" w:hAnsi="Times New Roman" w:cs="Times New Roman"/>
          <w:sz w:val="28"/>
          <w:szCs w:val="28"/>
        </w:rPr>
        <w:t xml:space="preserve"> Ленинградской области положений, содержащих </w:t>
      </w:r>
      <w:proofErr w:type="spellStart"/>
      <w:r w:rsidRPr="007304E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304E6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9C4E3D" w:rsidRPr="007304E6" w:rsidRDefault="009C4E3D" w:rsidP="00730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4E6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приказе </w:t>
      </w:r>
      <w:r w:rsidR="007304E6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7304E6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7304E6">
        <w:rPr>
          <w:rFonts w:ascii="Times New Roman" w:hAnsi="Times New Roman" w:cs="Times New Roman"/>
          <w:sz w:val="28"/>
          <w:szCs w:val="28"/>
        </w:rPr>
        <w:t xml:space="preserve">Ленинградской области положений, содержащих </w:t>
      </w:r>
      <w:proofErr w:type="spellStart"/>
      <w:r w:rsidRPr="007304E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304E6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304E6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304E6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9C4E3D" w:rsidRPr="007304E6" w:rsidRDefault="009C4E3D" w:rsidP="00A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4E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91B81">
        <w:rPr>
          <w:rFonts w:ascii="Times New Roman" w:hAnsi="Times New Roman" w:cs="Times New Roman"/>
          <w:sz w:val="28"/>
          <w:szCs w:val="28"/>
        </w:rPr>
        <w:t>3</w:t>
      </w:r>
      <w:r w:rsidRPr="007304E6">
        <w:rPr>
          <w:rFonts w:ascii="Times New Roman" w:hAnsi="Times New Roman" w:cs="Times New Roman"/>
          <w:sz w:val="28"/>
          <w:szCs w:val="28"/>
        </w:rPr>
        <w:t xml:space="preserve">. Экспертное заключение подписывается </w:t>
      </w:r>
      <w:r w:rsidR="00632C41">
        <w:rPr>
          <w:rFonts w:ascii="Times New Roman" w:hAnsi="Times New Roman" w:cs="Times New Roman"/>
          <w:sz w:val="28"/>
          <w:szCs w:val="28"/>
        </w:rPr>
        <w:t>председателем Комитета государственного заказа</w:t>
      </w:r>
      <w:r w:rsidRPr="007304E6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9C4E3D" w:rsidRPr="007304E6" w:rsidRDefault="009C4E3D" w:rsidP="00A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4E6">
        <w:rPr>
          <w:rFonts w:ascii="Times New Roman" w:hAnsi="Times New Roman" w:cs="Times New Roman"/>
          <w:sz w:val="28"/>
          <w:szCs w:val="28"/>
        </w:rPr>
        <w:t xml:space="preserve">Положения приказа </w:t>
      </w:r>
      <w:r w:rsidR="00632C41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632C41" w:rsidRPr="007304E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304E6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304E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304E6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приказа, а при его отсутствии - иным государственным гражданским служащим, назначенным </w:t>
      </w:r>
      <w:r w:rsidR="00632C4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632C41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632C41" w:rsidRPr="007304E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bookmarkStart w:id="0" w:name="_GoBack"/>
      <w:bookmarkEnd w:id="0"/>
      <w:r w:rsidRPr="007304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04E6" w:rsidRDefault="007304E6" w:rsidP="009C4E3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4E3D" w:rsidRPr="00A91B81" w:rsidRDefault="009C4E3D" w:rsidP="00A91B8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81">
        <w:rPr>
          <w:rFonts w:ascii="Times New Roman" w:hAnsi="Times New Roman" w:cs="Times New Roman"/>
          <w:sz w:val="28"/>
          <w:szCs w:val="28"/>
        </w:rPr>
        <w:t xml:space="preserve">4. Независимая антикоррупционная экспертиза приказов </w:t>
      </w:r>
      <w:r w:rsidR="007115A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7115AE" w:rsidRPr="00B62FC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A91B81">
        <w:rPr>
          <w:rFonts w:ascii="Times New Roman" w:hAnsi="Times New Roman" w:cs="Times New Roman"/>
          <w:sz w:val="28"/>
          <w:szCs w:val="28"/>
        </w:rPr>
        <w:t xml:space="preserve">и проектов приказов </w:t>
      </w:r>
      <w:r w:rsidR="007115AE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7115AE" w:rsidRPr="00B62FC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9C4E3D" w:rsidRPr="00A91B81" w:rsidRDefault="009C4E3D" w:rsidP="00A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81">
        <w:rPr>
          <w:rFonts w:ascii="Times New Roman" w:hAnsi="Times New Roman" w:cs="Times New Roman"/>
          <w:sz w:val="28"/>
          <w:szCs w:val="28"/>
        </w:rPr>
        <w:t>4.</w:t>
      </w:r>
      <w:r w:rsidR="00A91B81">
        <w:rPr>
          <w:rFonts w:ascii="Times New Roman" w:hAnsi="Times New Roman" w:cs="Times New Roman"/>
          <w:sz w:val="28"/>
          <w:szCs w:val="28"/>
        </w:rPr>
        <w:t>1</w:t>
      </w:r>
      <w:r w:rsidRPr="00A91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1B81">
        <w:rPr>
          <w:rFonts w:ascii="Times New Roman" w:hAnsi="Times New Roman" w:cs="Times New Roman"/>
          <w:sz w:val="28"/>
          <w:szCs w:val="28"/>
        </w:rPr>
        <w:t xml:space="preserve">Для обеспечения проведения независимой антикоррупционной экспертизы проекта приказа </w:t>
      </w:r>
      <w:r w:rsidR="00A91B81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A91B81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A91B8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A91B81">
        <w:rPr>
          <w:rFonts w:ascii="Times New Roman" w:hAnsi="Times New Roman" w:cs="Times New Roman"/>
          <w:sz w:val="28"/>
          <w:szCs w:val="28"/>
        </w:rPr>
        <w:t>Комитет государственного заказа</w:t>
      </w:r>
      <w:r w:rsidR="00A91B81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A91B81">
        <w:rPr>
          <w:rFonts w:ascii="Times New Roman" w:hAnsi="Times New Roman" w:cs="Times New Roman"/>
          <w:sz w:val="28"/>
          <w:szCs w:val="28"/>
        </w:rPr>
        <w:t xml:space="preserve">Ленинградской области, являющийся разработчиком проекта приказа, организует его размещение на официальном интернет-портале Администрации Ленинградской области в сети Интернет в течение рабочего дня, соответствующего дню направления проекта приказа </w:t>
      </w:r>
      <w:r w:rsidR="00A91B81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A91B81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A91B81">
        <w:rPr>
          <w:rFonts w:ascii="Times New Roman" w:hAnsi="Times New Roman" w:cs="Times New Roman"/>
          <w:sz w:val="28"/>
          <w:szCs w:val="28"/>
        </w:rPr>
        <w:t>Ленинградской области на согласование, с указанием адреса электронной почты для направления заключений, а также</w:t>
      </w:r>
      <w:proofErr w:type="gramEnd"/>
      <w:r w:rsidRPr="00A91B81">
        <w:rPr>
          <w:rFonts w:ascii="Times New Roman" w:hAnsi="Times New Roman" w:cs="Times New Roman"/>
          <w:sz w:val="28"/>
          <w:szCs w:val="28"/>
        </w:rPr>
        <w:t xml:space="preserve"> даты начала и даты окончания приема заключений по результатам независимой антикоррупционной экспертизы. Срок, на который проект приказа </w:t>
      </w:r>
      <w:r w:rsidR="00E618BF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E618BF" w:rsidRPr="00B62FC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A91B81">
        <w:rPr>
          <w:rFonts w:ascii="Times New Roman" w:hAnsi="Times New Roman" w:cs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9C4E3D" w:rsidRPr="00A91B81" w:rsidRDefault="009C4E3D" w:rsidP="00A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81">
        <w:rPr>
          <w:rFonts w:ascii="Times New Roman" w:hAnsi="Times New Roman" w:cs="Times New Roman"/>
          <w:sz w:val="28"/>
          <w:szCs w:val="28"/>
        </w:rPr>
        <w:t>4.</w:t>
      </w:r>
      <w:r w:rsidR="00A91B81">
        <w:rPr>
          <w:rFonts w:ascii="Times New Roman" w:hAnsi="Times New Roman" w:cs="Times New Roman"/>
          <w:sz w:val="28"/>
          <w:szCs w:val="28"/>
        </w:rPr>
        <w:t>2</w:t>
      </w:r>
      <w:r w:rsidRPr="00A91B81">
        <w:rPr>
          <w:rFonts w:ascii="Times New Roman" w:hAnsi="Times New Roman" w:cs="Times New Roman"/>
          <w:sz w:val="28"/>
          <w:szCs w:val="28"/>
        </w:rPr>
        <w:t xml:space="preserve">. Прием и рассмотрение заключений, составленных независимыми экспертами, проводившими независимую антикоррупционную экспертизу, осуществляет </w:t>
      </w:r>
      <w:r w:rsidR="00A91B81">
        <w:rPr>
          <w:rFonts w:ascii="Times New Roman" w:hAnsi="Times New Roman" w:cs="Times New Roman"/>
          <w:sz w:val="28"/>
          <w:szCs w:val="28"/>
        </w:rPr>
        <w:t>Комитет государственного заказа</w:t>
      </w:r>
      <w:r w:rsidR="00A91B81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A91B81">
        <w:rPr>
          <w:rFonts w:ascii="Times New Roman" w:hAnsi="Times New Roman" w:cs="Times New Roman"/>
          <w:sz w:val="28"/>
          <w:szCs w:val="28"/>
        </w:rPr>
        <w:t>Ленинградской области,</w:t>
      </w:r>
    </w:p>
    <w:p w:rsidR="009C4E3D" w:rsidRPr="00A91B81" w:rsidRDefault="009C4E3D" w:rsidP="00A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81">
        <w:rPr>
          <w:rFonts w:ascii="Times New Roman" w:hAnsi="Times New Roman" w:cs="Times New Roman"/>
          <w:sz w:val="28"/>
          <w:szCs w:val="28"/>
        </w:rPr>
        <w:t>4.</w:t>
      </w:r>
      <w:r w:rsidR="00A91B81">
        <w:rPr>
          <w:rFonts w:ascii="Times New Roman" w:hAnsi="Times New Roman" w:cs="Times New Roman"/>
          <w:sz w:val="28"/>
          <w:szCs w:val="28"/>
        </w:rPr>
        <w:t>3</w:t>
      </w:r>
      <w:r w:rsidRPr="00A91B81">
        <w:rPr>
          <w:rFonts w:ascii="Times New Roman" w:hAnsi="Times New Roman" w:cs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A91B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91B81">
        <w:rPr>
          <w:rFonts w:ascii="Times New Roman" w:hAnsi="Times New Roman" w:cs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A91B8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91B81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310B0C" w:rsidRDefault="00310B0C" w:rsidP="009C4E3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E3D" w:rsidRPr="00A91B81" w:rsidRDefault="009C4E3D" w:rsidP="00310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81">
        <w:rPr>
          <w:rFonts w:ascii="Times New Roman" w:hAnsi="Times New Roman" w:cs="Times New Roman"/>
          <w:sz w:val="28"/>
          <w:szCs w:val="28"/>
        </w:rPr>
        <w:t xml:space="preserve">5. Учет </w:t>
      </w:r>
      <w:proofErr w:type="gramStart"/>
      <w:r w:rsidRPr="00A91B81">
        <w:rPr>
          <w:rFonts w:ascii="Times New Roman" w:hAnsi="Times New Roman" w:cs="Times New Roman"/>
          <w:sz w:val="28"/>
          <w:szCs w:val="28"/>
        </w:rPr>
        <w:t xml:space="preserve">результатов антикоррупционной экспертизы приказов </w:t>
      </w:r>
      <w:r w:rsidR="00310B0C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310B0C" w:rsidRPr="00B62FC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proofErr w:type="gramEnd"/>
      <w:r w:rsidRPr="00A91B81">
        <w:rPr>
          <w:rFonts w:ascii="Times New Roman" w:hAnsi="Times New Roman" w:cs="Times New Roman"/>
          <w:sz w:val="28"/>
          <w:szCs w:val="28"/>
        </w:rPr>
        <w:t xml:space="preserve"> и проектов приказов </w:t>
      </w:r>
      <w:r w:rsidR="00310B0C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310B0C" w:rsidRPr="00B62FC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9C4E3D" w:rsidRPr="00A91B81" w:rsidRDefault="009C4E3D" w:rsidP="00310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81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A91B81">
        <w:rPr>
          <w:rFonts w:ascii="Times New Roman" w:hAnsi="Times New Roman" w:cs="Times New Roman"/>
          <w:sz w:val="28"/>
          <w:szCs w:val="28"/>
        </w:rPr>
        <w:t xml:space="preserve">организации учета результатов антикоррупционной экспертизы приказов </w:t>
      </w:r>
      <w:r w:rsidR="00A91B81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A91B81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A91B81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 w:rsidRPr="00A91B81">
        <w:rPr>
          <w:rFonts w:ascii="Times New Roman" w:hAnsi="Times New Roman" w:cs="Times New Roman"/>
          <w:sz w:val="28"/>
          <w:szCs w:val="28"/>
        </w:rPr>
        <w:t xml:space="preserve"> и проектов приказов </w:t>
      </w:r>
      <w:r w:rsidR="00A91B81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="00A91B81" w:rsidRPr="00B62FC9">
        <w:rPr>
          <w:rFonts w:ascii="Times New Roman" w:hAnsi="Times New Roman" w:cs="Times New Roman"/>
          <w:sz w:val="28"/>
          <w:szCs w:val="28"/>
        </w:rPr>
        <w:t xml:space="preserve"> </w:t>
      </w:r>
      <w:r w:rsidRPr="00A91B8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91B81">
        <w:rPr>
          <w:rFonts w:ascii="Times New Roman" w:hAnsi="Times New Roman" w:cs="Times New Roman"/>
          <w:sz w:val="28"/>
          <w:szCs w:val="28"/>
        </w:rPr>
        <w:t>,</w:t>
      </w:r>
      <w:r w:rsidRPr="00A91B81">
        <w:rPr>
          <w:rFonts w:ascii="Times New Roman" w:hAnsi="Times New Roman" w:cs="Times New Roman"/>
          <w:sz w:val="28"/>
          <w:szCs w:val="28"/>
        </w:rPr>
        <w:t xml:space="preserve"> </w:t>
      </w:r>
      <w:r w:rsidR="00A91B81">
        <w:rPr>
          <w:rFonts w:ascii="Times New Roman" w:hAnsi="Times New Roman" w:cs="Times New Roman"/>
          <w:sz w:val="28"/>
          <w:szCs w:val="28"/>
        </w:rPr>
        <w:t>Комитета государственного заказа</w:t>
      </w:r>
      <w:r w:rsidRPr="00A91B81">
        <w:rPr>
          <w:rFonts w:ascii="Times New Roman" w:hAnsi="Times New Roman" w:cs="Times New Roman"/>
          <w:sz w:val="28"/>
          <w:szCs w:val="28"/>
        </w:rPr>
        <w:t xml:space="preserve"> Ленинградской области направля</w:t>
      </w:r>
      <w:r w:rsidR="00A91B81">
        <w:rPr>
          <w:rFonts w:ascii="Times New Roman" w:hAnsi="Times New Roman" w:cs="Times New Roman"/>
          <w:sz w:val="28"/>
          <w:szCs w:val="28"/>
        </w:rPr>
        <w:t>е</w:t>
      </w:r>
      <w:r w:rsidRPr="00A91B81">
        <w:rPr>
          <w:rFonts w:ascii="Times New Roman" w:hAnsi="Times New Roman" w:cs="Times New Roman"/>
          <w:sz w:val="28"/>
          <w:szCs w:val="28"/>
        </w:rPr>
        <w:t>т в комитет правового обеспечения Ленинградской области соответствующие отчеты:</w:t>
      </w:r>
    </w:p>
    <w:p w:rsidR="009C4E3D" w:rsidRPr="00A91B81" w:rsidRDefault="009C4E3D" w:rsidP="00A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81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9C4E3D" w:rsidRPr="00A91B81" w:rsidRDefault="009C4E3D" w:rsidP="00A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81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A91B8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91B81">
        <w:rPr>
          <w:rFonts w:ascii="Times New Roman" w:hAnsi="Times New Roman" w:cs="Times New Roman"/>
          <w:sz w:val="28"/>
          <w:szCs w:val="28"/>
        </w:rPr>
        <w:t>.</w:t>
      </w:r>
    </w:p>
    <w:p w:rsidR="009C4E3D" w:rsidRPr="00A91B81" w:rsidRDefault="00632C41" w:rsidP="00A91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9C4E3D" w:rsidRPr="00A91B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Отчеты</w:t>
        </w:r>
      </w:hyperlink>
      <w:r w:rsidR="009C4E3D" w:rsidRPr="00A91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формируются по форме согласно приложению к настоящему </w:t>
      </w:r>
      <w:r w:rsidR="00A91B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C4E3D" w:rsidRPr="00A91B81">
        <w:rPr>
          <w:rFonts w:ascii="Times New Roman" w:hAnsi="Times New Roman" w:cs="Times New Roman"/>
          <w:color w:val="000000" w:themeColor="text1"/>
          <w:sz w:val="28"/>
          <w:szCs w:val="28"/>
        </w:rPr>
        <w:t>орядку.</w:t>
      </w:r>
    </w:p>
    <w:p w:rsidR="00B177E9" w:rsidRPr="008830B6" w:rsidRDefault="00B177E9" w:rsidP="00B177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830B6">
        <w:rPr>
          <w:rFonts w:ascii="Times New Roman" w:hAnsi="Times New Roman" w:cs="Times New Roman"/>
          <w:sz w:val="28"/>
          <w:szCs w:val="28"/>
        </w:rPr>
        <w:t>Приложение</w:t>
      </w:r>
    </w:p>
    <w:p w:rsidR="00B177E9" w:rsidRPr="008830B6" w:rsidRDefault="00B177E9" w:rsidP="00B177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30B6">
        <w:rPr>
          <w:rFonts w:ascii="Times New Roman" w:hAnsi="Times New Roman" w:cs="Times New Roman"/>
          <w:sz w:val="28"/>
          <w:szCs w:val="28"/>
        </w:rPr>
        <w:lastRenderedPageBreak/>
        <w:t>к Порядку...</w:t>
      </w:r>
    </w:p>
    <w:p w:rsidR="00B177E9" w:rsidRDefault="00B177E9" w:rsidP="00B177E9">
      <w:pPr>
        <w:pStyle w:val="ConsPlusNormal"/>
        <w:jc w:val="center"/>
      </w:pPr>
    </w:p>
    <w:p w:rsidR="00B177E9" w:rsidRPr="008830B6" w:rsidRDefault="00B177E9" w:rsidP="00B17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7E9" w:rsidRPr="002B4C30" w:rsidRDefault="00B177E9" w:rsidP="00B177E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>(Форма)</w:t>
      </w:r>
    </w:p>
    <w:p w:rsidR="00B177E9" w:rsidRPr="002B4C30" w:rsidRDefault="00B177E9" w:rsidP="00B177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7E9" w:rsidRPr="002B4C30" w:rsidRDefault="00B177E9" w:rsidP="00B1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3"/>
      <w:bookmarkEnd w:id="1"/>
      <w:r w:rsidRPr="002B4C30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B177E9" w:rsidRPr="002B4C30" w:rsidRDefault="00B177E9" w:rsidP="00B1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B177E9" w:rsidRPr="002B4C30" w:rsidRDefault="00B177E9" w:rsidP="00B1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77E9" w:rsidRPr="002B4C30" w:rsidRDefault="00B177E9" w:rsidP="00B1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 xml:space="preserve">Комитета государственного заказа Ленинградской области </w:t>
      </w:r>
    </w:p>
    <w:p w:rsidR="00B177E9" w:rsidRPr="002B4C30" w:rsidRDefault="00B177E9" w:rsidP="00B1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>о результатах антикоррупционной экспертизы приказов</w:t>
      </w:r>
    </w:p>
    <w:p w:rsidR="00B177E9" w:rsidRPr="002B4C30" w:rsidRDefault="00B177E9" w:rsidP="00B1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>и проектов приказов в 20__ году</w:t>
      </w:r>
    </w:p>
    <w:p w:rsidR="00B177E9" w:rsidRPr="002B4C30" w:rsidRDefault="00B177E9" w:rsidP="00B177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7E9" w:rsidRPr="002B4C30" w:rsidRDefault="00B177E9" w:rsidP="00B177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B177E9" w:rsidRPr="002B4C30" w:rsidRDefault="00B177E9" w:rsidP="00B1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>проектов приказов</w:t>
      </w:r>
    </w:p>
    <w:p w:rsidR="00B177E9" w:rsidRPr="002B4C30" w:rsidRDefault="00B177E9" w:rsidP="00B1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212"/>
        <w:gridCol w:w="2366"/>
        <w:gridCol w:w="2368"/>
      </w:tblGrid>
      <w:tr w:rsidR="00B177E9" w:rsidRPr="002B4C30" w:rsidTr="001E47F9">
        <w:tc>
          <w:tcPr>
            <w:tcW w:w="3119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Количество проектов приказов, прошедших экспертизу</w:t>
            </w:r>
          </w:p>
        </w:tc>
        <w:tc>
          <w:tcPr>
            <w:tcW w:w="2212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325" w:history="1">
              <w:r w:rsidRPr="002B4C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368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326" w:history="1">
              <w:r w:rsidRPr="002B4C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B177E9" w:rsidRPr="002B4C30" w:rsidTr="001E47F9">
        <w:tc>
          <w:tcPr>
            <w:tcW w:w="3119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7E9" w:rsidRPr="002B4C30" w:rsidRDefault="00B177E9" w:rsidP="00B1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77E9" w:rsidRPr="002B4C30" w:rsidRDefault="00B177E9" w:rsidP="00B177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>Перечень проведенных антикоррупционных экспертиз приказов</w:t>
      </w:r>
    </w:p>
    <w:p w:rsidR="00B177E9" w:rsidRPr="002B4C30" w:rsidRDefault="00B177E9" w:rsidP="00B17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397"/>
        <w:gridCol w:w="1757"/>
        <w:gridCol w:w="1984"/>
        <w:gridCol w:w="2355"/>
      </w:tblGrid>
      <w:tr w:rsidR="00B177E9" w:rsidRPr="002B4C30" w:rsidTr="001E47F9">
        <w:tc>
          <w:tcPr>
            <w:tcW w:w="572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97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приказа, прошедшего экспертизу, дата издания и номер</w:t>
            </w:r>
          </w:p>
        </w:tc>
        <w:tc>
          <w:tcPr>
            <w:tcW w:w="1757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325" w:history="1">
              <w:r w:rsidRPr="002B4C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55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B177E9" w:rsidRPr="002B4C30" w:rsidTr="001E47F9">
        <w:tc>
          <w:tcPr>
            <w:tcW w:w="572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7E9" w:rsidRPr="002B4C30" w:rsidRDefault="00B177E9" w:rsidP="00B1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77E9" w:rsidRPr="002B4C30" w:rsidRDefault="00B177E9" w:rsidP="00B177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B177E9" w:rsidRPr="002B4C30" w:rsidRDefault="00B177E9" w:rsidP="00B1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 xml:space="preserve">проектов приказов </w:t>
      </w:r>
      <w:hyperlink w:anchor="P327" w:history="1">
        <w:r w:rsidRPr="002B4C30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B177E9" w:rsidRPr="002B4C30" w:rsidRDefault="00B177E9" w:rsidP="00B177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1814"/>
        <w:gridCol w:w="1984"/>
        <w:gridCol w:w="2324"/>
      </w:tblGrid>
      <w:tr w:rsidR="00B177E9" w:rsidRPr="002B4C30" w:rsidTr="001E47F9">
        <w:tc>
          <w:tcPr>
            <w:tcW w:w="510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9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приказа,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328" w:history="1">
              <w:r w:rsidRPr="002B4C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325" w:history="1">
              <w:r w:rsidRPr="002B4C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329" w:history="1">
              <w:r w:rsidRPr="002B4C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77E9" w:rsidRPr="002B4C30" w:rsidTr="001E47F9">
        <w:tc>
          <w:tcPr>
            <w:tcW w:w="510" w:type="dxa"/>
          </w:tcPr>
          <w:p w:rsidR="00B177E9" w:rsidRPr="002B4C30" w:rsidRDefault="00B177E9" w:rsidP="00222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B177E9" w:rsidRPr="002B4C30" w:rsidRDefault="00B177E9" w:rsidP="00222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B177E9" w:rsidRPr="002B4C30" w:rsidRDefault="00B177E9" w:rsidP="00222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77E9" w:rsidRPr="002B4C30" w:rsidRDefault="00B177E9" w:rsidP="00222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B177E9" w:rsidRPr="002B4C30" w:rsidRDefault="00B177E9" w:rsidP="00222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7E9" w:rsidRPr="002B4C30" w:rsidRDefault="00B177E9" w:rsidP="00B177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7E9" w:rsidRPr="002B4C30" w:rsidRDefault="00B177E9" w:rsidP="00B177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B177E9" w:rsidRPr="002B4C30" w:rsidRDefault="00B177E9" w:rsidP="00B1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 xml:space="preserve">приказов </w:t>
      </w:r>
      <w:hyperlink w:anchor="P327" w:history="1">
        <w:r w:rsidRPr="002B4C30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B177E9" w:rsidRPr="002B4C30" w:rsidRDefault="00B177E9" w:rsidP="00B177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1814"/>
        <w:gridCol w:w="1984"/>
        <w:gridCol w:w="2324"/>
      </w:tblGrid>
      <w:tr w:rsidR="00B177E9" w:rsidRPr="002B4C30" w:rsidTr="001E47F9">
        <w:tc>
          <w:tcPr>
            <w:tcW w:w="510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9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328" w:history="1">
              <w:r w:rsidRPr="002B4C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325" w:history="1">
              <w:r w:rsidRPr="002B4C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</w:tcPr>
          <w:p w:rsidR="00B177E9" w:rsidRPr="002B4C30" w:rsidRDefault="00B177E9" w:rsidP="00222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3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329" w:history="1">
              <w:r w:rsidRPr="002B4C3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77E9" w:rsidRPr="002B4C30" w:rsidTr="001E47F9">
        <w:tc>
          <w:tcPr>
            <w:tcW w:w="510" w:type="dxa"/>
          </w:tcPr>
          <w:p w:rsidR="00B177E9" w:rsidRPr="002B4C30" w:rsidRDefault="00B177E9" w:rsidP="00222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B177E9" w:rsidRPr="002B4C30" w:rsidRDefault="00B177E9" w:rsidP="00222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B177E9" w:rsidRPr="002B4C30" w:rsidRDefault="00B177E9" w:rsidP="00222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77E9" w:rsidRPr="002B4C30" w:rsidRDefault="00B177E9" w:rsidP="00222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B177E9" w:rsidRPr="002B4C30" w:rsidRDefault="00B177E9" w:rsidP="00222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7E9" w:rsidRPr="002B4C30" w:rsidRDefault="00B177E9" w:rsidP="00B177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7E9" w:rsidRPr="002B4C30" w:rsidRDefault="00B177E9" w:rsidP="00B17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C30">
        <w:rPr>
          <w:rFonts w:ascii="Times New Roman" w:hAnsi="Times New Roman" w:cs="Times New Roman"/>
          <w:sz w:val="28"/>
          <w:szCs w:val="28"/>
        </w:rPr>
        <w:t>Примечания:</w:t>
      </w:r>
    </w:p>
    <w:p w:rsidR="00B177E9" w:rsidRPr="002B4C30" w:rsidRDefault="00B177E9" w:rsidP="00B17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5"/>
      <w:bookmarkEnd w:id="2"/>
      <w:r w:rsidRPr="002B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&lt;1&gt; Наименования </w:t>
      </w:r>
      <w:proofErr w:type="spellStart"/>
      <w:r w:rsidRPr="002B4C30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2B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приводятся в соответствии с </w:t>
      </w:r>
      <w:hyperlink r:id="rId12" w:history="1">
        <w:r w:rsidRPr="002B4C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Pr="002B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</w:t>
      </w:r>
      <w:r w:rsidRPr="002B4C30">
        <w:rPr>
          <w:rFonts w:ascii="Times New Roman" w:hAnsi="Times New Roman" w:cs="Times New Roman"/>
          <w:sz w:val="28"/>
          <w:szCs w:val="28"/>
        </w:rPr>
        <w:t>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B177E9" w:rsidRPr="002B4C30" w:rsidRDefault="00B177E9" w:rsidP="00B17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26"/>
      <w:bookmarkEnd w:id="3"/>
      <w:r w:rsidRPr="002B4C30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2B4C30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2B4C30">
        <w:rPr>
          <w:rFonts w:ascii="Times New Roman" w:hAnsi="Times New Roman" w:cs="Times New Roman"/>
          <w:sz w:val="28"/>
          <w:szCs w:val="28"/>
        </w:rPr>
        <w:t xml:space="preserve"> случае если в проекте приказа выявлены </w:t>
      </w:r>
      <w:proofErr w:type="spellStart"/>
      <w:r w:rsidRPr="002B4C3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B4C30">
        <w:rPr>
          <w:rFonts w:ascii="Times New Roman" w:hAnsi="Times New Roman" w:cs="Times New Roman"/>
          <w:sz w:val="28"/>
          <w:szCs w:val="28"/>
        </w:rPr>
        <w:t xml:space="preserve"> факторы, указываются наименование соответствующего проекта приказа и дата подготовки экспертного заключения.</w:t>
      </w:r>
    </w:p>
    <w:p w:rsidR="00B177E9" w:rsidRPr="002B4C30" w:rsidRDefault="00B177E9" w:rsidP="00B17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27"/>
      <w:bookmarkEnd w:id="4"/>
      <w:r w:rsidRPr="002B4C30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2B4C30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2B4C30">
        <w:rPr>
          <w:rFonts w:ascii="Times New Roman" w:hAnsi="Times New Roman" w:cs="Times New Roman"/>
          <w:sz w:val="28"/>
          <w:szCs w:val="28"/>
        </w:rPr>
        <w:t>аполняется при условии поступления в отчетном году в Комитета государственного заказа Ленинградской области соответствующих заключений независимых экспертов.</w:t>
      </w:r>
    </w:p>
    <w:p w:rsidR="00B177E9" w:rsidRPr="002B4C30" w:rsidRDefault="00B177E9" w:rsidP="00B17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28"/>
      <w:bookmarkEnd w:id="5"/>
      <w:r w:rsidRPr="002B4C30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2B4C3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B4C30">
        <w:rPr>
          <w:rFonts w:ascii="Times New Roman" w:hAnsi="Times New Roman" w:cs="Times New Roman"/>
          <w:sz w:val="28"/>
          <w:szCs w:val="28"/>
        </w:rPr>
        <w:t>рилагаются копии заключений.</w:t>
      </w:r>
    </w:p>
    <w:p w:rsidR="00B177E9" w:rsidRPr="002B4C30" w:rsidRDefault="00B177E9" w:rsidP="00B17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29"/>
      <w:bookmarkEnd w:id="6"/>
      <w:r w:rsidRPr="002B4C30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2B4C3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B4C30">
        <w:rPr>
          <w:rFonts w:ascii="Times New Roman" w:hAnsi="Times New Roman" w:cs="Times New Roman"/>
          <w:sz w:val="28"/>
          <w:szCs w:val="28"/>
        </w:rPr>
        <w:t>рилагаются копии ответов независимым экспертам.</w:t>
      </w:r>
    </w:p>
    <w:p w:rsidR="00B177E9" w:rsidRDefault="00B177E9" w:rsidP="00B177E9">
      <w:pPr>
        <w:pStyle w:val="ConsPlusNormal"/>
        <w:ind w:firstLine="540"/>
        <w:jc w:val="both"/>
      </w:pPr>
    </w:p>
    <w:p w:rsidR="00B177E9" w:rsidRDefault="00B177E9" w:rsidP="00B177E9"/>
    <w:p w:rsidR="00570B00" w:rsidRDefault="00570B00" w:rsidP="00C47D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70B00" w:rsidSect="00AF569B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90EDC"/>
    <w:multiLevelType w:val="hybridMultilevel"/>
    <w:tmpl w:val="BB8A2BBE"/>
    <w:lvl w:ilvl="0" w:tplc="9F9CB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5A"/>
    <w:rsid w:val="000006F1"/>
    <w:rsid w:val="00034EBD"/>
    <w:rsid w:val="00050FA6"/>
    <w:rsid w:val="000C2DC1"/>
    <w:rsid w:val="000D79EE"/>
    <w:rsid w:val="00167C91"/>
    <w:rsid w:val="001739D5"/>
    <w:rsid w:val="00180985"/>
    <w:rsid w:val="00197B60"/>
    <w:rsid w:val="001B303B"/>
    <w:rsid w:val="001C5781"/>
    <w:rsid w:val="001E47F9"/>
    <w:rsid w:val="0020027E"/>
    <w:rsid w:val="00236395"/>
    <w:rsid w:val="002912E2"/>
    <w:rsid w:val="002E736F"/>
    <w:rsid w:val="00310B0C"/>
    <w:rsid w:val="0038001E"/>
    <w:rsid w:val="003A5621"/>
    <w:rsid w:val="003C09E6"/>
    <w:rsid w:val="00450D54"/>
    <w:rsid w:val="0047336D"/>
    <w:rsid w:val="004B2DF5"/>
    <w:rsid w:val="004B52A7"/>
    <w:rsid w:val="004F53CC"/>
    <w:rsid w:val="00506E01"/>
    <w:rsid w:val="0054418B"/>
    <w:rsid w:val="00545815"/>
    <w:rsid w:val="00570B00"/>
    <w:rsid w:val="005A6CCE"/>
    <w:rsid w:val="005B6F72"/>
    <w:rsid w:val="005B7273"/>
    <w:rsid w:val="005C62E3"/>
    <w:rsid w:val="00632C41"/>
    <w:rsid w:val="00640919"/>
    <w:rsid w:val="00672F41"/>
    <w:rsid w:val="0067539C"/>
    <w:rsid w:val="0069449C"/>
    <w:rsid w:val="006A3D37"/>
    <w:rsid w:val="007067F2"/>
    <w:rsid w:val="007115AE"/>
    <w:rsid w:val="007304E6"/>
    <w:rsid w:val="00833468"/>
    <w:rsid w:val="008B20FE"/>
    <w:rsid w:val="009006D6"/>
    <w:rsid w:val="00903179"/>
    <w:rsid w:val="00940FA0"/>
    <w:rsid w:val="00954D32"/>
    <w:rsid w:val="0095622E"/>
    <w:rsid w:val="00972908"/>
    <w:rsid w:val="00990EC0"/>
    <w:rsid w:val="009C4E3D"/>
    <w:rsid w:val="009D28AE"/>
    <w:rsid w:val="009E2D5B"/>
    <w:rsid w:val="00A44125"/>
    <w:rsid w:val="00A477D9"/>
    <w:rsid w:val="00A91B81"/>
    <w:rsid w:val="00A953C9"/>
    <w:rsid w:val="00AA4709"/>
    <w:rsid w:val="00AB599B"/>
    <w:rsid w:val="00AC670A"/>
    <w:rsid w:val="00AE6354"/>
    <w:rsid w:val="00AF569B"/>
    <w:rsid w:val="00B177E9"/>
    <w:rsid w:val="00B21D8B"/>
    <w:rsid w:val="00B312FA"/>
    <w:rsid w:val="00B31542"/>
    <w:rsid w:val="00B41668"/>
    <w:rsid w:val="00B62FC9"/>
    <w:rsid w:val="00B81D25"/>
    <w:rsid w:val="00BB1783"/>
    <w:rsid w:val="00BC4AEE"/>
    <w:rsid w:val="00BC6004"/>
    <w:rsid w:val="00C347F0"/>
    <w:rsid w:val="00C47D5A"/>
    <w:rsid w:val="00C66145"/>
    <w:rsid w:val="00C811D4"/>
    <w:rsid w:val="00CB5D89"/>
    <w:rsid w:val="00D0104A"/>
    <w:rsid w:val="00D1021E"/>
    <w:rsid w:val="00D2251D"/>
    <w:rsid w:val="00D332F0"/>
    <w:rsid w:val="00D63D32"/>
    <w:rsid w:val="00E618BF"/>
    <w:rsid w:val="00E6301C"/>
    <w:rsid w:val="00EB206C"/>
    <w:rsid w:val="00EE2013"/>
    <w:rsid w:val="00EF43E4"/>
    <w:rsid w:val="00F10441"/>
    <w:rsid w:val="00F51E63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A3D37"/>
    <w:pPr>
      <w:ind w:left="720"/>
      <w:contextualSpacing/>
    </w:pPr>
  </w:style>
  <w:style w:type="table" w:styleId="a4">
    <w:name w:val="Table Grid"/>
    <w:basedOn w:val="a1"/>
    <w:uiPriority w:val="59"/>
    <w:rsid w:val="0070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17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A3D37"/>
    <w:pPr>
      <w:ind w:left="720"/>
      <w:contextualSpacing/>
    </w:pPr>
  </w:style>
  <w:style w:type="table" w:styleId="a4">
    <w:name w:val="Table Grid"/>
    <w:basedOn w:val="a1"/>
    <w:uiPriority w:val="59"/>
    <w:rsid w:val="0070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17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FD09B1AF81DBE20F36C14489A89412B4563E9EA0F708C6C1F2B1699E1B76099A38060A0DF9B47F092790D70DDB667465E1C28E3633816B6ID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FA03F12BAB4B7F8784F6FF3D6898FCC0EEBEA30093A53B9315F58F3B03C8A7B796BFC8EBCFAB650XBA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BFD09B1AF81DBE20F373055D9A89412A446AE3E801708C6C1F2B1699E1B76099A38060A0DF9946F392790D70DDB667465E1C28E3633816B6ID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BFD09B1AF81DBE20F36C14489A89412A476BE0EA0B708C6C1F2B1699E1B76099A38060A0DF9B47F592790D70DDB667465E1C28E3633816B6I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BFD09B1AF81DBE20F36C14489A89412A476BE0EA0B708C6C1F2B1699E1B76099A38060A0DF9B47F592790D70DDB667465E1C28E3633816B6I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AE0C-C7EE-4409-8E0D-ACADB2D7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Геннадьевна МИХАЙЛОВА</dc:creator>
  <cp:lastModifiedBy>Инна Геннадьевна МИХАЙЛОВА</cp:lastModifiedBy>
  <cp:revision>38</cp:revision>
  <dcterms:created xsi:type="dcterms:W3CDTF">2015-10-02T12:43:00Z</dcterms:created>
  <dcterms:modified xsi:type="dcterms:W3CDTF">2019-05-07T13:02:00Z</dcterms:modified>
</cp:coreProperties>
</file>