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  <w:r w:rsidRPr="00D816D1">
        <w:rPr>
          <w:b w:val="0"/>
        </w:rPr>
        <w:t>КОМИТЕТ ФИНАНСОВ ЛЕНИНГРАДСКОЙ ОБЛАСТИ</w:t>
      </w:r>
    </w:p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  <w:r w:rsidRPr="00D816D1">
        <w:rPr>
          <w:b w:val="0"/>
        </w:rPr>
        <w:t>ПРИКАЗ</w:t>
      </w:r>
    </w:p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  <w:r w:rsidRPr="00D816D1">
        <w:rPr>
          <w:b w:val="0"/>
        </w:rPr>
        <w:t>______________________________________</w:t>
      </w:r>
    </w:p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</w:p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  <w:r w:rsidRPr="00D816D1">
        <w:rPr>
          <w:b w:val="0"/>
        </w:rPr>
        <w:t>О внесении изменений в Приказ комитета финансов Ленинградской области</w:t>
      </w:r>
    </w:p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  <w:r w:rsidRPr="00D816D1">
        <w:rPr>
          <w:b w:val="0"/>
        </w:rPr>
        <w:t xml:space="preserve">от 26 февраля 2018 года № 18-02/01-20-19 </w:t>
      </w:r>
      <w:r w:rsidR="002876B1" w:rsidRPr="00D816D1">
        <w:rPr>
          <w:b w:val="0"/>
        </w:rPr>
        <w:t>«</w:t>
      </w:r>
      <w:r w:rsidRPr="00D816D1">
        <w:rPr>
          <w:b w:val="0"/>
        </w:rPr>
        <w:t>О порядке</w:t>
      </w:r>
    </w:p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  <w:r w:rsidRPr="00D816D1">
        <w:rPr>
          <w:b w:val="0"/>
        </w:rPr>
        <w:t>проведения мониторинга эффективности использования</w:t>
      </w:r>
    </w:p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  <w:r w:rsidRPr="00D816D1">
        <w:rPr>
          <w:b w:val="0"/>
        </w:rPr>
        <w:t>субсидий из областного бюджета Ленинградской области</w:t>
      </w:r>
    </w:p>
    <w:p w:rsidR="00DE5A84" w:rsidRPr="00D816D1" w:rsidRDefault="00DE5A84" w:rsidP="00DE5A84">
      <w:pPr>
        <w:pStyle w:val="ConsPlusTitle"/>
        <w:spacing w:line="360" w:lineRule="auto"/>
        <w:jc w:val="center"/>
        <w:rPr>
          <w:b w:val="0"/>
        </w:rPr>
      </w:pPr>
      <w:r w:rsidRPr="00D816D1">
        <w:rPr>
          <w:b w:val="0"/>
        </w:rPr>
        <w:t>муниципальными образованиями Ленинградской области</w:t>
      </w:r>
      <w:r w:rsidR="002876B1" w:rsidRPr="00D816D1">
        <w:rPr>
          <w:b w:val="0"/>
        </w:rPr>
        <w:t>»</w:t>
      </w:r>
    </w:p>
    <w:p w:rsidR="00DE5A84" w:rsidRPr="00D816D1" w:rsidRDefault="00DE5A84" w:rsidP="00DE5A84">
      <w:pPr>
        <w:pStyle w:val="ConsPlusNormal"/>
        <w:ind w:firstLine="540"/>
        <w:jc w:val="both"/>
      </w:pPr>
    </w:p>
    <w:p w:rsidR="00DE5A84" w:rsidRPr="00D816D1" w:rsidRDefault="007837E7" w:rsidP="000642AC">
      <w:pPr>
        <w:pStyle w:val="ConsPlusNormal"/>
        <w:ind w:firstLine="540"/>
        <w:jc w:val="both"/>
      </w:pPr>
      <w:r w:rsidRPr="00D816D1">
        <w:t xml:space="preserve">В целях </w:t>
      </w:r>
      <w:proofErr w:type="gramStart"/>
      <w:r w:rsidRPr="00D816D1">
        <w:t xml:space="preserve">приведения правовых актов </w:t>
      </w:r>
      <w:r w:rsidR="00E7562D" w:rsidRPr="00D816D1">
        <w:t xml:space="preserve">комитета финансов </w:t>
      </w:r>
      <w:r w:rsidRPr="00D816D1">
        <w:t>Ленинградской области</w:t>
      </w:r>
      <w:proofErr w:type="gramEnd"/>
      <w:r w:rsidRPr="00D816D1">
        <w:t xml:space="preserve"> в соответствие с </w:t>
      </w:r>
      <w:r w:rsidR="00E7562D" w:rsidRPr="00D816D1">
        <w:t>нормативными правовыми актами Ленинградской области</w:t>
      </w:r>
      <w:r w:rsidR="006E020F" w:rsidRPr="00D816D1">
        <w:t xml:space="preserve"> </w:t>
      </w:r>
      <w:r w:rsidR="00DE5A84" w:rsidRPr="00D816D1">
        <w:t>приказываю:</w:t>
      </w:r>
      <w:r w:rsidR="000F09AD" w:rsidRPr="00D816D1">
        <w:t xml:space="preserve"> </w:t>
      </w:r>
    </w:p>
    <w:p w:rsidR="00DE5A84" w:rsidRPr="00D816D1" w:rsidRDefault="00DE5A84" w:rsidP="000642AC">
      <w:pPr>
        <w:pStyle w:val="ConsPlusNormal"/>
        <w:ind w:firstLine="540"/>
        <w:jc w:val="both"/>
      </w:pPr>
      <w:r w:rsidRPr="00D816D1">
        <w:t xml:space="preserve">Внести в приказ комитета финансов Ленинградской области от 26 февраля 2018 года № 18-02/01-20-19 «О порядке </w:t>
      </w:r>
      <w:proofErr w:type="gramStart"/>
      <w:r w:rsidRPr="00D816D1">
        <w:t>проведения мониторинга эффективности использования субсидий</w:t>
      </w:r>
      <w:proofErr w:type="gramEnd"/>
      <w:r w:rsidRPr="00D816D1">
        <w:t xml:space="preserve"> из областного бюджета Ленинградской области муниципальными образованиями Ленинградской области» (далее – Приказ), следующие изменения:</w:t>
      </w:r>
    </w:p>
    <w:p w:rsidR="00DE5A84" w:rsidRPr="00D816D1" w:rsidRDefault="00DE5A84" w:rsidP="000642AC">
      <w:pPr>
        <w:pStyle w:val="ConsPlusTitle"/>
        <w:jc w:val="center"/>
        <w:outlineLvl w:val="0"/>
        <w:rPr>
          <w:b w:val="0"/>
        </w:rPr>
      </w:pPr>
    </w:p>
    <w:p w:rsidR="00DE5A84" w:rsidRPr="00D816D1" w:rsidRDefault="000F09AD" w:rsidP="000642AC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D816D1">
        <w:rPr>
          <w:rFonts w:cs="Times New Roman"/>
          <w:szCs w:val="28"/>
        </w:rPr>
        <w:t xml:space="preserve">Внести в Приложение к Приказу «Порядок </w:t>
      </w:r>
      <w:proofErr w:type="gramStart"/>
      <w:r w:rsidRPr="00D816D1">
        <w:t>проведения мониторинга эффективности использования субсидий</w:t>
      </w:r>
      <w:proofErr w:type="gramEnd"/>
      <w:r w:rsidRPr="00D816D1">
        <w:t xml:space="preserve"> из областного бюджета Ленинградской области муниципальными образованиями Ленинградской области</w:t>
      </w:r>
      <w:r w:rsidRPr="00D816D1">
        <w:rPr>
          <w:rFonts w:cs="Times New Roman"/>
          <w:szCs w:val="28"/>
        </w:rPr>
        <w:t xml:space="preserve">» </w:t>
      </w:r>
      <w:r w:rsidR="006E020F" w:rsidRPr="00D816D1">
        <w:rPr>
          <w:rFonts w:cs="Times New Roman"/>
          <w:szCs w:val="28"/>
        </w:rPr>
        <w:t xml:space="preserve">(далее – Порядок мониторинга) </w:t>
      </w:r>
      <w:r w:rsidRPr="00D816D1">
        <w:rPr>
          <w:rFonts w:cs="Times New Roman"/>
          <w:szCs w:val="28"/>
        </w:rPr>
        <w:t>следующие изменения:</w:t>
      </w:r>
    </w:p>
    <w:p w:rsidR="00B45AA4" w:rsidRPr="00D816D1" w:rsidRDefault="006E020F" w:rsidP="000642AC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D816D1">
        <w:rPr>
          <w:rFonts w:cs="Times New Roman"/>
          <w:szCs w:val="28"/>
        </w:rPr>
        <w:t>В тексте Порядка мониторинга слова «целевые показатели результативности»</w:t>
      </w:r>
      <w:r w:rsidR="00D241C1" w:rsidRPr="00D816D1">
        <w:rPr>
          <w:rFonts w:cs="Times New Roman"/>
          <w:szCs w:val="28"/>
        </w:rPr>
        <w:t xml:space="preserve"> и слова «значений целевых показателей результативности»</w:t>
      </w:r>
      <w:r w:rsidRPr="00D816D1">
        <w:rPr>
          <w:rFonts w:cs="Times New Roman"/>
          <w:szCs w:val="28"/>
        </w:rPr>
        <w:t xml:space="preserve"> </w:t>
      </w:r>
      <w:r w:rsidR="00232A99" w:rsidRPr="00D816D1">
        <w:rPr>
          <w:rFonts w:cs="Times New Roman"/>
          <w:szCs w:val="28"/>
        </w:rPr>
        <w:t>в соответствующ</w:t>
      </w:r>
      <w:r w:rsidR="00331929" w:rsidRPr="00D816D1">
        <w:rPr>
          <w:rFonts w:cs="Times New Roman"/>
          <w:szCs w:val="28"/>
        </w:rPr>
        <w:t>ем</w:t>
      </w:r>
      <w:r w:rsidR="00232A99" w:rsidRPr="00D816D1">
        <w:rPr>
          <w:rFonts w:cs="Times New Roman"/>
          <w:szCs w:val="28"/>
        </w:rPr>
        <w:t xml:space="preserve"> числе и падеже заменить словами «значения результатов использования субсидий» в соо</w:t>
      </w:r>
      <w:r w:rsidR="0007469B" w:rsidRPr="00D816D1">
        <w:rPr>
          <w:rFonts w:cs="Times New Roman"/>
          <w:szCs w:val="28"/>
        </w:rPr>
        <w:t>тветствующем числе и падеже;</w:t>
      </w:r>
    </w:p>
    <w:p w:rsidR="00B45AA4" w:rsidRPr="00D816D1" w:rsidRDefault="00B45AA4" w:rsidP="000642AC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D816D1">
        <w:t>Раздел 4 изложить в новой редакции:</w:t>
      </w:r>
    </w:p>
    <w:p w:rsidR="00B45AA4" w:rsidRPr="00D816D1" w:rsidRDefault="000642AC" w:rsidP="000642A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D816D1">
        <w:rPr>
          <w:rFonts w:cs="Times New Roman"/>
          <w:bCs/>
          <w:szCs w:val="28"/>
        </w:rPr>
        <w:t>«</w:t>
      </w:r>
      <w:r w:rsidR="00B45AA4" w:rsidRPr="00D816D1">
        <w:rPr>
          <w:rFonts w:cs="Times New Roman"/>
          <w:bCs/>
          <w:szCs w:val="28"/>
        </w:rPr>
        <w:t>4. Главные распорядители бюджетных средств областного бюджета Ленинградской области:</w:t>
      </w:r>
    </w:p>
    <w:p w:rsidR="00B45AA4" w:rsidRPr="00D816D1" w:rsidRDefault="00B45AA4" w:rsidP="000642A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D816D1">
        <w:rPr>
          <w:rFonts w:cs="Times New Roman"/>
          <w:bCs/>
          <w:szCs w:val="28"/>
        </w:rPr>
        <w:t xml:space="preserve">4.1. </w:t>
      </w:r>
      <w:r w:rsidR="002B2E3A">
        <w:rPr>
          <w:rFonts w:cs="Times New Roman"/>
          <w:bCs/>
          <w:szCs w:val="28"/>
        </w:rPr>
        <w:t xml:space="preserve">формируют </w:t>
      </w:r>
      <w:r w:rsidR="00D8204D" w:rsidRPr="00D816D1">
        <w:rPr>
          <w:rFonts w:cs="Times New Roman"/>
          <w:bCs/>
          <w:szCs w:val="28"/>
        </w:rPr>
        <w:t>в программном комплексе "СВОД-СМАРТ"</w:t>
      </w:r>
      <w:r w:rsidR="00D8204D">
        <w:rPr>
          <w:rFonts w:cs="Times New Roman"/>
          <w:bCs/>
          <w:szCs w:val="28"/>
        </w:rPr>
        <w:t xml:space="preserve"> </w:t>
      </w:r>
      <w:r w:rsidR="00B25F44">
        <w:rPr>
          <w:rFonts w:cs="Times New Roman"/>
          <w:bCs/>
          <w:szCs w:val="28"/>
        </w:rPr>
        <w:t xml:space="preserve">и подписывают </w:t>
      </w:r>
      <w:r w:rsidRPr="00D816D1">
        <w:rPr>
          <w:rFonts w:cs="Times New Roman"/>
          <w:bCs/>
          <w:szCs w:val="28"/>
        </w:rPr>
        <w:t>усиленной квалифицированной электронной подпис</w:t>
      </w:r>
      <w:r w:rsidR="0001675F">
        <w:rPr>
          <w:rFonts w:cs="Times New Roman"/>
          <w:bCs/>
          <w:szCs w:val="28"/>
        </w:rPr>
        <w:t>ью</w:t>
      </w:r>
      <w:r w:rsidRPr="00D816D1">
        <w:rPr>
          <w:rFonts w:cs="Times New Roman"/>
          <w:bCs/>
          <w:szCs w:val="28"/>
        </w:rPr>
        <w:t>:</w:t>
      </w:r>
    </w:p>
    <w:p w:rsidR="00B45AA4" w:rsidRPr="00D816D1" w:rsidRDefault="00B45AA4" w:rsidP="000C5E4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bookmarkStart w:id="0" w:name="Par1"/>
      <w:bookmarkEnd w:id="0"/>
      <w:r w:rsidRPr="00D816D1">
        <w:rPr>
          <w:rFonts w:cs="Times New Roman"/>
          <w:bCs/>
          <w:szCs w:val="28"/>
        </w:rPr>
        <w:t xml:space="preserve">информацию о достижении значений результатов использования субсидий по форме согласно </w:t>
      </w:r>
      <w:r w:rsidR="000642AC" w:rsidRPr="00D816D1">
        <w:rPr>
          <w:rFonts w:cs="Times New Roman"/>
          <w:bCs/>
          <w:szCs w:val="28"/>
        </w:rPr>
        <w:t xml:space="preserve">разделу </w:t>
      </w:r>
      <w:r w:rsidR="000642AC" w:rsidRPr="00D816D1">
        <w:rPr>
          <w:rFonts w:cs="Times New Roman"/>
          <w:bCs/>
          <w:szCs w:val="28"/>
          <w:lang w:val="en-US"/>
        </w:rPr>
        <w:t>I</w:t>
      </w:r>
      <w:r w:rsidR="000642AC" w:rsidRPr="00D816D1">
        <w:rPr>
          <w:rFonts w:cs="Times New Roman"/>
          <w:bCs/>
          <w:szCs w:val="28"/>
        </w:rPr>
        <w:t xml:space="preserve"> </w:t>
      </w:r>
      <w:r w:rsidRPr="00D816D1">
        <w:rPr>
          <w:rFonts w:cs="Times New Roman"/>
          <w:bCs/>
          <w:szCs w:val="28"/>
        </w:rPr>
        <w:t xml:space="preserve">приложения 1 к настоящему Порядку и пояснительную записку о причинах </w:t>
      </w:r>
      <w:proofErr w:type="spellStart"/>
      <w:r w:rsidRPr="00D816D1">
        <w:rPr>
          <w:rFonts w:cs="Times New Roman"/>
          <w:bCs/>
          <w:szCs w:val="28"/>
        </w:rPr>
        <w:t>недостижения</w:t>
      </w:r>
      <w:proofErr w:type="spellEnd"/>
      <w:r w:rsidRPr="00D816D1">
        <w:rPr>
          <w:rFonts w:cs="Times New Roman"/>
          <w:bCs/>
          <w:szCs w:val="28"/>
        </w:rPr>
        <w:t xml:space="preserve"> значений результатов использования субсидий;</w:t>
      </w:r>
    </w:p>
    <w:p w:rsidR="00B45AA4" w:rsidRPr="00D816D1" w:rsidRDefault="00B45AA4" w:rsidP="000C5E4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bookmarkStart w:id="1" w:name="Par2"/>
      <w:bookmarkEnd w:id="1"/>
      <w:r w:rsidRPr="00D816D1">
        <w:rPr>
          <w:rFonts w:cs="Times New Roman"/>
          <w:bCs/>
          <w:szCs w:val="28"/>
        </w:rPr>
        <w:t xml:space="preserve">информацию о соблюдении муниципальными образованиями фактической доли расходов бюджета муниципального образования на финансирование обязательств, </w:t>
      </w:r>
      <w:proofErr w:type="spellStart"/>
      <w:r w:rsidRPr="00D816D1">
        <w:rPr>
          <w:rFonts w:cs="Times New Roman"/>
          <w:bCs/>
          <w:szCs w:val="28"/>
        </w:rPr>
        <w:t>софинансируемых</w:t>
      </w:r>
      <w:proofErr w:type="spellEnd"/>
      <w:r w:rsidRPr="00D816D1">
        <w:rPr>
          <w:rFonts w:cs="Times New Roman"/>
          <w:bCs/>
          <w:szCs w:val="28"/>
        </w:rPr>
        <w:t xml:space="preserve"> за счет субсидии в отчетном году из областного бюджета Ленинградской области, по форме согласно </w:t>
      </w:r>
      <w:r w:rsidR="000642AC" w:rsidRPr="00D816D1">
        <w:rPr>
          <w:rFonts w:cs="Times New Roman"/>
          <w:bCs/>
          <w:szCs w:val="28"/>
        </w:rPr>
        <w:t xml:space="preserve">разделу </w:t>
      </w:r>
      <w:r w:rsidR="000642AC" w:rsidRPr="00D816D1">
        <w:rPr>
          <w:lang w:val="en-US"/>
        </w:rPr>
        <w:t>II</w:t>
      </w:r>
      <w:r w:rsidR="00D816D1" w:rsidRPr="00D816D1">
        <w:t xml:space="preserve"> </w:t>
      </w:r>
      <w:r w:rsidRPr="00D816D1">
        <w:rPr>
          <w:rFonts w:cs="Times New Roman"/>
          <w:bCs/>
          <w:szCs w:val="28"/>
        </w:rPr>
        <w:t>приложения 1 к настоящему Порядку;</w:t>
      </w:r>
    </w:p>
    <w:p w:rsidR="00B45AA4" w:rsidRPr="00D816D1" w:rsidRDefault="00D816D1" w:rsidP="000C5E4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bookmarkStart w:id="2" w:name="Par3"/>
      <w:bookmarkEnd w:id="2"/>
      <w:r>
        <w:rPr>
          <w:rFonts w:cs="Times New Roman"/>
          <w:bCs/>
          <w:szCs w:val="28"/>
        </w:rPr>
        <w:lastRenderedPageBreak/>
        <w:t xml:space="preserve">информацию </w:t>
      </w:r>
      <w:r w:rsidR="00B45AA4" w:rsidRPr="00D816D1">
        <w:rPr>
          <w:rFonts w:cs="Times New Roman"/>
          <w:bCs/>
          <w:szCs w:val="28"/>
        </w:rPr>
        <w:t>об объеме средств, подлежащих возврату в областной бюджет Ленинградской области, по форме согласно при</w:t>
      </w:r>
      <w:r w:rsidR="00D71517">
        <w:rPr>
          <w:rFonts w:cs="Times New Roman"/>
          <w:bCs/>
          <w:szCs w:val="28"/>
        </w:rPr>
        <w:t>ложению 2 к настоящему Порядку;</w:t>
      </w:r>
    </w:p>
    <w:p w:rsidR="00AC4476" w:rsidRDefault="00B25F44" w:rsidP="000642A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bookmarkStart w:id="3" w:name="Par4"/>
      <w:bookmarkEnd w:id="3"/>
      <w:r>
        <w:rPr>
          <w:rFonts w:cs="Times New Roman"/>
          <w:bCs/>
          <w:szCs w:val="28"/>
        </w:rPr>
        <w:t xml:space="preserve">4.2. </w:t>
      </w:r>
      <w:r w:rsidR="00000D26">
        <w:rPr>
          <w:rFonts w:cs="Times New Roman"/>
          <w:bCs/>
          <w:szCs w:val="28"/>
        </w:rPr>
        <w:t>доводят</w:t>
      </w:r>
      <w:r w:rsidR="00D71517">
        <w:rPr>
          <w:rFonts w:cs="Times New Roman"/>
          <w:bCs/>
          <w:szCs w:val="28"/>
        </w:rPr>
        <w:t xml:space="preserve"> информацию, указанную в пункте 4.1.</w:t>
      </w:r>
      <w:r w:rsidR="00860595">
        <w:rPr>
          <w:rFonts w:cs="Times New Roman"/>
          <w:bCs/>
          <w:szCs w:val="28"/>
        </w:rPr>
        <w:t xml:space="preserve"> настоящего Порядка</w:t>
      </w:r>
      <w:r w:rsidR="00D71517">
        <w:rPr>
          <w:rFonts w:cs="Times New Roman"/>
          <w:bCs/>
          <w:szCs w:val="28"/>
        </w:rPr>
        <w:t>,</w:t>
      </w:r>
      <w:r w:rsidR="00000D26">
        <w:rPr>
          <w:rFonts w:cs="Times New Roman"/>
          <w:bCs/>
          <w:szCs w:val="28"/>
        </w:rPr>
        <w:t xml:space="preserve"> до сведения </w:t>
      </w:r>
      <w:r w:rsidR="00D8204D">
        <w:rPr>
          <w:rFonts w:cs="Times New Roman"/>
          <w:bCs/>
          <w:szCs w:val="28"/>
        </w:rPr>
        <w:t>соответствующих муниципальных образований в срок до 20 февра</w:t>
      </w:r>
      <w:r w:rsidR="00482F15">
        <w:rPr>
          <w:rFonts w:cs="Times New Roman"/>
          <w:bCs/>
          <w:szCs w:val="28"/>
        </w:rPr>
        <w:t>ля года, следующего за отчетным</w:t>
      </w:r>
      <w:r w:rsidR="0001675F">
        <w:rPr>
          <w:rFonts w:cs="Times New Roman"/>
          <w:bCs/>
          <w:szCs w:val="28"/>
        </w:rPr>
        <w:t xml:space="preserve"> годом</w:t>
      </w:r>
      <w:r w:rsidR="00D71517">
        <w:rPr>
          <w:rFonts w:cs="Times New Roman"/>
          <w:bCs/>
          <w:szCs w:val="28"/>
        </w:rPr>
        <w:t>;</w:t>
      </w:r>
    </w:p>
    <w:p w:rsidR="00000D26" w:rsidRDefault="00482F15" w:rsidP="000642A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4.3. </w:t>
      </w:r>
      <w:r w:rsidR="002B2E3A" w:rsidRPr="002B2E3A">
        <w:rPr>
          <w:rFonts w:cs="Times New Roman"/>
          <w:bCs/>
          <w:szCs w:val="28"/>
        </w:rPr>
        <w:t>представляют</w:t>
      </w:r>
      <w:r w:rsidR="00D71517">
        <w:rPr>
          <w:rFonts w:cs="Times New Roman"/>
          <w:bCs/>
          <w:szCs w:val="28"/>
        </w:rPr>
        <w:t xml:space="preserve"> информацию, указанную в пункте 4.1.</w:t>
      </w:r>
      <w:r w:rsidR="00860595">
        <w:rPr>
          <w:rFonts w:cs="Times New Roman"/>
          <w:bCs/>
          <w:szCs w:val="28"/>
        </w:rPr>
        <w:t xml:space="preserve"> настоящего Порядка</w:t>
      </w:r>
      <w:r w:rsidR="00D71517">
        <w:rPr>
          <w:rFonts w:cs="Times New Roman"/>
          <w:bCs/>
          <w:szCs w:val="28"/>
        </w:rPr>
        <w:t>,</w:t>
      </w:r>
      <w:r w:rsidR="002B2E3A" w:rsidRPr="002B2E3A">
        <w:rPr>
          <w:rFonts w:cs="Times New Roman"/>
          <w:bCs/>
          <w:szCs w:val="28"/>
        </w:rPr>
        <w:t xml:space="preserve"> в Комитет в срок до 1 марта года, следующего за отчетным</w:t>
      </w:r>
      <w:r w:rsidR="0001675F">
        <w:rPr>
          <w:rFonts w:cs="Times New Roman"/>
          <w:bCs/>
          <w:szCs w:val="28"/>
        </w:rPr>
        <w:t xml:space="preserve"> годом</w:t>
      </w:r>
      <w:r w:rsidR="00D71517">
        <w:rPr>
          <w:rFonts w:cs="Times New Roman"/>
          <w:bCs/>
          <w:szCs w:val="28"/>
        </w:rPr>
        <w:t>;</w:t>
      </w:r>
    </w:p>
    <w:p w:rsidR="00B45AA4" w:rsidRPr="00D816D1" w:rsidRDefault="00D71517" w:rsidP="000642A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4.4.</w:t>
      </w:r>
      <w:r w:rsidR="00B45AA4" w:rsidRPr="00D816D1">
        <w:rPr>
          <w:rFonts w:cs="Times New Roman"/>
          <w:bCs/>
          <w:szCs w:val="28"/>
        </w:rPr>
        <w:t xml:space="preserve"> </w:t>
      </w:r>
      <w:r w:rsidR="00C17359">
        <w:rPr>
          <w:rFonts w:cs="Times New Roman"/>
          <w:bCs/>
          <w:szCs w:val="28"/>
        </w:rPr>
        <w:t>представляют,</w:t>
      </w:r>
      <w:r w:rsidRPr="00D816D1">
        <w:rPr>
          <w:rFonts w:cs="Times New Roman"/>
          <w:bCs/>
          <w:szCs w:val="28"/>
        </w:rPr>
        <w:t xml:space="preserve"> при необходимости и с </w:t>
      </w:r>
      <w:r w:rsidRPr="00D816D1">
        <w:t>учетом требований, указанных в пункте 5.5. Правил предоставления субсидий</w:t>
      </w:r>
      <w:r w:rsidR="00C17359">
        <w:t>,</w:t>
      </w:r>
      <w:r w:rsidRPr="00D816D1">
        <w:rPr>
          <w:rFonts w:cs="Times New Roman"/>
          <w:bCs/>
          <w:szCs w:val="28"/>
        </w:rPr>
        <w:t xml:space="preserve"> </w:t>
      </w:r>
      <w:r w:rsidR="00B45AA4" w:rsidRPr="00D816D1">
        <w:rPr>
          <w:rFonts w:cs="Times New Roman"/>
          <w:bCs/>
          <w:szCs w:val="28"/>
        </w:rPr>
        <w:t>в электронном виде через систему электронного документооборота Ленинградской области</w:t>
      </w:r>
      <w:r w:rsidR="004C1313" w:rsidRPr="004C1313">
        <w:rPr>
          <w:rFonts w:cs="Times New Roman"/>
          <w:bCs/>
          <w:szCs w:val="28"/>
        </w:rPr>
        <w:t xml:space="preserve"> </w:t>
      </w:r>
      <w:r w:rsidR="004C1313" w:rsidRPr="002B2E3A">
        <w:rPr>
          <w:rFonts w:cs="Times New Roman"/>
          <w:bCs/>
          <w:szCs w:val="28"/>
        </w:rPr>
        <w:t>в Комитет в срок до 1 марта года, следующего за отчетным</w:t>
      </w:r>
      <w:r w:rsidR="004C1313">
        <w:rPr>
          <w:rFonts w:cs="Times New Roman"/>
          <w:bCs/>
          <w:szCs w:val="28"/>
        </w:rPr>
        <w:t xml:space="preserve"> годом</w:t>
      </w:r>
      <w:r w:rsidR="00B45AA4" w:rsidRPr="00D816D1">
        <w:rPr>
          <w:rFonts w:cs="Times New Roman"/>
          <w:bCs/>
          <w:szCs w:val="28"/>
        </w:rPr>
        <w:t>:</w:t>
      </w:r>
    </w:p>
    <w:p w:rsidR="00B45AA4" w:rsidRPr="00D816D1" w:rsidRDefault="00B45AA4" w:rsidP="000C5E4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816D1">
        <w:rPr>
          <w:rFonts w:cs="Times New Roman"/>
          <w:bCs/>
          <w:szCs w:val="28"/>
        </w:rPr>
        <w:t xml:space="preserve">заключение о причинах </w:t>
      </w:r>
      <w:proofErr w:type="spellStart"/>
      <w:r w:rsidRPr="00D816D1">
        <w:rPr>
          <w:rFonts w:cs="Times New Roman"/>
          <w:bCs/>
          <w:szCs w:val="28"/>
        </w:rPr>
        <w:t>недостижения</w:t>
      </w:r>
      <w:proofErr w:type="spellEnd"/>
      <w:r w:rsidRPr="00D816D1">
        <w:rPr>
          <w:rFonts w:cs="Times New Roman"/>
          <w:bCs/>
          <w:szCs w:val="28"/>
        </w:rPr>
        <w:t xml:space="preserve"> значений </w:t>
      </w:r>
      <w:r w:rsidRPr="00D816D1">
        <w:rPr>
          <w:rFonts w:cs="Times New Roman"/>
          <w:szCs w:val="28"/>
        </w:rPr>
        <w:t>результатов использования субсидий</w:t>
      </w:r>
      <w:r w:rsidRPr="00D816D1">
        <w:rPr>
          <w:rFonts w:cs="Times New Roman"/>
          <w:bCs/>
          <w:szCs w:val="28"/>
        </w:rPr>
        <w:t xml:space="preserve"> (с документами, подтверждающими наступление обстоятельств непреодолимой силы, препятствующих достижению значений </w:t>
      </w:r>
      <w:r w:rsidRPr="00D816D1">
        <w:rPr>
          <w:rFonts w:cs="Times New Roman"/>
          <w:szCs w:val="28"/>
        </w:rPr>
        <w:t>результатов использования субсидий</w:t>
      </w:r>
      <w:r w:rsidRPr="00D816D1">
        <w:rPr>
          <w:rFonts w:cs="Times New Roman"/>
          <w:bCs/>
          <w:szCs w:val="28"/>
        </w:rPr>
        <w:t>);</w:t>
      </w:r>
    </w:p>
    <w:p w:rsidR="00B45AA4" w:rsidRPr="00D816D1" w:rsidRDefault="00B45AA4" w:rsidP="000C5E4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816D1">
        <w:rPr>
          <w:rFonts w:cs="Times New Roman"/>
          <w:bCs/>
          <w:szCs w:val="28"/>
        </w:rPr>
        <w:t xml:space="preserve">заключение о целесообразности </w:t>
      </w:r>
      <w:proofErr w:type="gramStart"/>
      <w:r w:rsidRPr="00D816D1">
        <w:rPr>
          <w:rFonts w:cs="Times New Roman"/>
          <w:bCs/>
          <w:szCs w:val="28"/>
        </w:rPr>
        <w:t xml:space="preserve">продления срока достижения значений </w:t>
      </w:r>
      <w:r w:rsidRPr="00D816D1">
        <w:rPr>
          <w:rFonts w:cs="Times New Roman"/>
          <w:szCs w:val="28"/>
        </w:rPr>
        <w:t>результатов использования субсидий</w:t>
      </w:r>
      <w:proofErr w:type="gramEnd"/>
      <w:r w:rsidR="00982E83">
        <w:rPr>
          <w:rFonts w:cs="Times New Roman"/>
          <w:bCs/>
          <w:szCs w:val="28"/>
        </w:rPr>
        <w:t>.»</w:t>
      </w:r>
    </w:p>
    <w:p w:rsidR="001110F9" w:rsidRDefault="000415CE" w:rsidP="001110F9">
      <w:pPr>
        <w:pStyle w:val="ConsPlusTitle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0"/>
        <w:rPr>
          <w:b w:val="0"/>
        </w:rPr>
      </w:pPr>
      <w:r w:rsidRPr="001110F9">
        <w:rPr>
          <w:b w:val="0"/>
        </w:rPr>
        <w:t>В пункте</w:t>
      </w:r>
      <w:r w:rsidR="00654831" w:rsidRPr="001110F9">
        <w:rPr>
          <w:b w:val="0"/>
        </w:rPr>
        <w:t xml:space="preserve"> 5</w:t>
      </w:r>
      <w:r w:rsidR="002B3E13" w:rsidRPr="001110F9">
        <w:rPr>
          <w:b w:val="0"/>
        </w:rPr>
        <w:t xml:space="preserve"> слова «</w:t>
      </w:r>
      <w:r w:rsidR="006458B8" w:rsidRPr="001110F9">
        <w:rPr>
          <w:b w:val="0"/>
        </w:rPr>
        <w:t>в</w:t>
      </w:r>
      <w:r w:rsidR="006458B8" w:rsidRPr="001110F9">
        <w:rPr>
          <w:b w:val="0"/>
          <w:bCs/>
          <w:szCs w:val="28"/>
        </w:rPr>
        <w:t xml:space="preserve"> срок до 5 мая года, следующего за отчетным» </w:t>
      </w:r>
      <w:proofErr w:type="gramStart"/>
      <w:r w:rsidR="002B3E13" w:rsidRPr="001110F9">
        <w:rPr>
          <w:b w:val="0"/>
        </w:rPr>
        <w:t>заменить на</w:t>
      </w:r>
      <w:r w:rsidR="00615827">
        <w:rPr>
          <w:b w:val="0"/>
        </w:rPr>
        <w:t xml:space="preserve"> слова</w:t>
      </w:r>
      <w:proofErr w:type="gramEnd"/>
      <w:r w:rsidR="002B3E13" w:rsidRPr="001110F9">
        <w:rPr>
          <w:b w:val="0"/>
        </w:rPr>
        <w:t xml:space="preserve"> «не позднее</w:t>
      </w:r>
      <w:r w:rsidR="0043559C" w:rsidRPr="001110F9">
        <w:rPr>
          <w:b w:val="0"/>
        </w:rPr>
        <w:t xml:space="preserve"> </w:t>
      </w:r>
      <w:r w:rsidR="00952E4A" w:rsidRPr="001110F9">
        <w:rPr>
          <w:b w:val="0"/>
        </w:rPr>
        <w:t>пяти рабочих</w:t>
      </w:r>
      <w:r w:rsidR="0043559C" w:rsidRPr="001110F9">
        <w:rPr>
          <w:b w:val="0"/>
        </w:rPr>
        <w:t xml:space="preserve"> дн</w:t>
      </w:r>
      <w:r w:rsidR="00952E4A" w:rsidRPr="001110F9">
        <w:rPr>
          <w:b w:val="0"/>
        </w:rPr>
        <w:t xml:space="preserve">ей после </w:t>
      </w:r>
      <w:r w:rsidR="0043559C" w:rsidRPr="001110F9">
        <w:rPr>
          <w:b w:val="0"/>
        </w:rPr>
        <w:t>срок</w:t>
      </w:r>
      <w:r w:rsidR="00952E4A" w:rsidRPr="001110F9">
        <w:rPr>
          <w:b w:val="0"/>
        </w:rPr>
        <w:t>а</w:t>
      </w:r>
      <w:r w:rsidR="00AD08B4" w:rsidRPr="001110F9">
        <w:rPr>
          <w:b w:val="0"/>
        </w:rPr>
        <w:t xml:space="preserve">, </w:t>
      </w:r>
      <w:r w:rsidR="0043559C" w:rsidRPr="001110F9">
        <w:rPr>
          <w:b w:val="0"/>
        </w:rPr>
        <w:t>установленн</w:t>
      </w:r>
      <w:r w:rsidR="00952E4A" w:rsidRPr="001110F9">
        <w:rPr>
          <w:b w:val="0"/>
        </w:rPr>
        <w:t>ого</w:t>
      </w:r>
      <w:r w:rsidR="0043559C" w:rsidRPr="001110F9">
        <w:rPr>
          <w:b w:val="0"/>
        </w:rPr>
        <w:t xml:space="preserve"> абзацем </w:t>
      </w:r>
      <w:r w:rsidR="00C626A8">
        <w:rPr>
          <w:b w:val="0"/>
        </w:rPr>
        <w:t>вторым</w:t>
      </w:r>
      <w:r w:rsidR="0043559C" w:rsidRPr="001110F9">
        <w:rPr>
          <w:b w:val="0"/>
        </w:rPr>
        <w:t xml:space="preserve"> пункта 5.7. </w:t>
      </w:r>
      <w:r w:rsidR="0035161A" w:rsidRPr="001110F9">
        <w:rPr>
          <w:b w:val="0"/>
        </w:rPr>
        <w:t>Правил предоставления субсидий»</w:t>
      </w:r>
      <w:r w:rsidR="009B0C8F" w:rsidRPr="001110F9">
        <w:rPr>
          <w:b w:val="0"/>
        </w:rPr>
        <w:t>;</w:t>
      </w:r>
    </w:p>
    <w:p w:rsidR="00715154" w:rsidRDefault="001110F9" w:rsidP="000642AC">
      <w:pPr>
        <w:pStyle w:val="ConsPlusTitle"/>
        <w:numPr>
          <w:ilvl w:val="1"/>
          <w:numId w:val="2"/>
        </w:numPr>
        <w:tabs>
          <w:tab w:val="left" w:pos="1134"/>
        </w:tabs>
        <w:ind w:left="0" w:firstLine="426"/>
        <w:jc w:val="both"/>
        <w:outlineLvl w:val="0"/>
        <w:rPr>
          <w:b w:val="0"/>
        </w:rPr>
      </w:pPr>
      <w:r w:rsidRPr="00715154">
        <w:rPr>
          <w:b w:val="0"/>
        </w:rPr>
        <w:t xml:space="preserve">В пункте 6.1.1. </w:t>
      </w:r>
      <w:r w:rsidR="00424715" w:rsidRPr="00715154">
        <w:rPr>
          <w:b w:val="0"/>
        </w:rPr>
        <w:t xml:space="preserve">слова «информацию об объеме средств, подлежащих возврату в областной бюджет Ленинградской области» </w:t>
      </w:r>
      <w:proofErr w:type="gramStart"/>
      <w:r w:rsidR="00424715" w:rsidRPr="00715154">
        <w:rPr>
          <w:b w:val="0"/>
        </w:rPr>
        <w:t xml:space="preserve">заменить на </w:t>
      </w:r>
      <w:r w:rsidR="00615827">
        <w:rPr>
          <w:b w:val="0"/>
        </w:rPr>
        <w:t>слова</w:t>
      </w:r>
      <w:proofErr w:type="gramEnd"/>
      <w:r w:rsidR="00615827">
        <w:rPr>
          <w:b w:val="0"/>
        </w:rPr>
        <w:t xml:space="preserve"> </w:t>
      </w:r>
      <w:r w:rsidR="00424715" w:rsidRPr="00715154">
        <w:rPr>
          <w:b w:val="0"/>
        </w:rPr>
        <w:t>«</w:t>
      </w:r>
      <w:r w:rsidR="00860595" w:rsidRPr="00715154">
        <w:rPr>
          <w:b w:val="0"/>
        </w:rPr>
        <w:t>информацию, указанную в пункте 4.1. настоящего Порядка»</w:t>
      </w:r>
      <w:r w:rsidR="00715154" w:rsidRPr="00715154">
        <w:rPr>
          <w:b w:val="0"/>
        </w:rPr>
        <w:t>;</w:t>
      </w:r>
    </w:p>
    <w:p w:rsidR="00715154" w:rsidRDefault="00F67AE4" w:rsidP="000642AC">
      <w:pPr>
        <w:pStyle w:val="ConsPlusTitle"/>
        <w:numPr>
          <w:ilvl w:val="1"/>
          <w:numId w:val="2"/>
        </w:numPr>
        <w:tabs>
          <w:tab w:val="left" w:pos="1134"/>
        </w:tabs>
        <w:ind w:left="0" w:firstLine="426"/>
        <w:jc w:val="both"/>
        <w:outlineLvl w:val="0"/>
        <w:rPr>
          <w:b w:val="0"/>
        </w:rPr>
      </w:pPr>
      <w:r w:rsidRPr="00715154">
        <w:rPr>
          <w:b w:val="0"/>
        </w:rPr>
        <w:t>В пункте 6.2</w:t>
      </w:r>
      <w:r w:rsidR="00636FCA" w:rsidRPr="00715154">
        <w:rPr>
          <w:b w:val="0"/>
        </w:rPr>
        <w:t>.</w:t>
      </w:r>
      <w:r w:rsidRPr="00715154">
        <w:rPr>
          <w:b w:val="0"/>
        </w:rPr>
        <w:t xml:space="preserve"> </w:t>
      </w:r>
      <w:r w:rsidR="00462798" w:rsidRPr="00715154">
        <w:rPr>
          <w:b w:val="0"/>
        </w:rPr>
        <w:t xml:space="preserve">слова </w:t>
      </w:r>
      <w:r w:rsidR="0007469B" w:rsidRPr="00715154">
        <w:rPr>
          <w:b w:val="0"/>
        </w:rPr>
        <w:t>«</w:t>
      </w:r>
      <w:r w:rsidR="001E0A69" w:rsidRPr="00715154">
        <w:rPr>
          <w:b w:val="0"/>
        </w:rPr>
        <w:t>разделом</w:t>
      </w:r>
      <w:r w:rsidRPr="00715154">
        <w:rPr>
          <w:b w:val="0"/>
        </w:rPr>
        <w:t xml:space="preserve"> 6» заменить </w:t>
      </w:r>
      <w:r w:rsidR="001E0A69" w:rsidRPr="00715154">
        <w:rPr>
          <w:b w:val="0"/>
        </w:rPr>
        <w:t xml:space="preserve">словами </w:t>
      </w:r>
      <w:r w:rsidRPr="00715154">
        <w:rPr>
          <w:b w:val="0"/>
        </w:rPr>
        <w:t>«</w:t>
      </w:r>
      <w:r w:rsidR="001E0A69" w:rsidRPr="00715154">
        <w:rPr>
          <w:b w:val="0"/>
        </w:rPr>
        <w:t xml:space="preserve">разделом </w:t>
      </w:r>
      <w:r w:rsidRPr="00715154">
        <w:rPr>
          <w:b w:val="0"/>
        </w:rPr>
        <w:t>5»</w:t>
      </w:r>
      <w:r w:rsidR="0007469B" w:rsidRPr="00715154">
        <w:rPr>
          <w:b w:val="0"/>
        </w:rPr>
        <w:t>;</w:t>
      </w:r>
    </w:p>
    <w:p w:rsidR="00715154" w:rsidRDefault="0059520B" w:rsidP="000642AC">
      <w:pPr>
        <w:pStyle w:val="ConsPlusTitle"/>
        <w:numPr>
          <w:ilvl w:val="1"/>
          <w:numId w:val="2"/>
        </w:numPr>
        <w:tabs>
          <w:tab w:val="left" w:pos="1134"/>
        </w:tabs>
        <w:ind w:left="0" w:firstLine="426"/>
        <w:jc w:val="both"/>
        <w:outlineLvl w:val="0"/>
        <w:rPr>
          <w:b w:val="0"/>
        </w:rPr>
      </w:pPr>
      <w:r w:rsidRPr="00715154">
        <w:rPr>
          <w:b w:val="0"/>
        </w:rPr>
        <w:t>В п</w:t>
      </w:r>
      <w:r w:rsidR="00636FCA" w:rsidRPr="00715154">
        <w:rPr>
          <w:b w:val="0"/>
        </w:rPr>
        <w:t>ункте</w:t>
      </w:r>
      <w:r w:rsidRPr="00715154">
        <w:rPr>
          <w:b w:val="0"/>
        </w:rPr>
        <w:t xml:space="preserve"> 6.3.</w:t>
      </w:r>
      <w:r w:rsidR="001E300B" w:rsidRPr="00715154">
        <w:rPr>
          <w:b w:val="0"/>
        </w:rPr>
        <w:t xml:space="preserve"> слова «пункту 4.3.» заменить на</w:t>
      </w:r>
      <w:r w:rsidR="00615827">
        <w:rPr>
          <w:b w:val="0"/>
        </w:rPr>
        <w:t xml:space="preserve"> слова</w:t>
      </w:r>
      <w:r w:rsidR="001E300B" w:rsidRPr="00715154">
        <w:rPr>
          <w:b w:val="0"/>
        </w:rPr>
        <w:t xml:space="preserve"> «подпункту </w:t>
      </w:r>
      <w:r w:rsidR="00891796" w:rsidRPr="00715154">
        <w:rPr>
          <w:b w:val="0"/>
        </w:rPr>
        <w:t>«</w:t>
      </w:r>
      <w:proofErr w:type="gramStart"/>
      <w:r w:rsidR="00DC14D2" w:rsidRPr="00715154">
        <w:rPr>
          <w:b w:val="0"/>
        </w:rPr>
        <w:t>в</w:t>
      </w:r>
      <w:proofErr w:type="gramEnd"/>
      <w:r w:rsidR="00891796" w:rsidRPr="00715154">
        <w:rPr>
          <w:b w:val="0"/>
        </w:rPr>
        <w:t>»</w:t>
      </w:r>
      <w:r w:rsidR="001E300B" w:rsidRPr="00715154">
        <w:rPr>
          <w:b w:val="0"/>
        </w:rPr>
        <w:t xml:space="preserve"> </w:t>
      </w:r>
      <w:proofErr w:type="gramStart"/>
      <w:r w:rsidR="001E300B" w:rsidRPr="00715154">
        <w:rPr>
          <w:b w:val="0"/>
        </w:rPr>
        <w:t>пункта</w:t>
      </w:r>
      <w:proofErr w:type="gramEnd"/>
      <w:r w:rsidR="001E300B" w:rsidRPr="00715154">
        <w:rPr>
          <w:b w:val="0"/>
        </w:rPr>
        <w:t xml:space="preserve"> 4.1.</w:t>
      </w:r>
      <w:r w:rsidR="00D816D1" w:rsidRPr="00715154">
        <w:rPr>
          <w:b w:val="0"/>
        </w:rPr>
        <w:t>»</w:t>
      </w:r>
      <w:r w:rsidR="001E300B" w:rsidRPr="00715154">
        <w:rPr>
          <w:b w:val="0"/>
        </w:rPr>
        <w:t xml:space="preserve">, </w:t>
      </w:r>
      <w:r w:rsidRPr="00715154">
        <w:rPr>
          <w:b w:val="0"/>
        </w:rPr>
        <w:t>слова «</w:t>
      </w:r>
      <w:r w:rsidR="005E087A" w:rsidRPr="00715154">
        <w:rPr>
          <w:b w:val="0"/>
        </w:rPr>
        <w:t>не позднее 10 мая года, следующего за отчетным</w:t>
      </w:r>
      <w:r w:rsidRPr="00715154">
        <w:rPr>
          <w:b w:val="0"/>
        </w:rPr>
        <w:t xml:space="preserve">» заменить на </w:t>
      </w:r>
      <w:r w:rsidR="00615827">
        <w:rPr>
          <w:b w:val="0"/>
        </w:rPr>
        <w:t xml:space="preserve">слова </w:t>
      </w:r>
      <w:r w:rsidR="009B0C8F" w:rsidRPr="00715154">
        <w:rPr>
          <w:b w:val="0"/>
        </w:rPr>
        <w:t xml:space="preserve">«не позднее </w:t>
      </w:r>
      <w:r w:rsidR="00534791" w:rsidRPr="00715154">
        <w:rPr>
          <w:b w:val="0"/>
        </w:rPr>
        <w:t xml:space="preserve">восьми </w:t>
      </w:r>
      <w:r w:rsidR="009B0C8F" w:rsidRPr="00715154">
        <w:rPr>
          <w:b w:val="0"/>
        </w:rPr>
        <w:t>рабоч</w:t>
      </w:r>
      <w:r w:rsidR="00534791" w:rsidRPr="00715154">
        <w:rPr>
          <w:b w:val="0"/>
        </w:rPr>
        <w:t>их</w:t>
      </w:r>
      <w:r w:rsidR="009B0C8F" w:rsidRPr="00715154">
        <w:rPr>
          <w:b w:val="0"/>
        </w:rPr>
        <w:t xml:space="preserve"> дн</w:t>
      </w:r>
      <w:r w:rsidR="00534791" w:rsidRPr="00715154">
        <w:rPr>
          <w:b w:val="0"/>
        </w:rPr>
        <w:t>ей после срока</w:t>
      </w:r>
      <w:r w:rsidR="00AD08B4" w:rsidRPr="00715154">
        <w:rPr>
          <w:b w:val="0"/>
        </w:rPr>
        <w:t>, установленн</w:t>
      </w:r>
      <w:r w:rsidR="00534791" w:rsidRPr="00715154">
        <w:rPr>
          <w:b w:val="0"/>
        </w:rPr>
        <w:t>ого</w:t>
      </w:r>
      <w:r w:rsidR="00AD08B4" w:rsidRPr="00715154">
        <w:rPr>
          <w:b w:val="0"/>
        </w:rPr>
        <w:t xml:space="preserve"> </w:t>
      </w:r>
      <w:r w:rsidR="009B0C8F" w:rsidRPr="00715154">
        <w:rPr>
          <w:b w:val="0"/>
        </w:rPr>
        <w:t xml:space="preserve">абзацем </w:t>
      </w:r>
      <w:r w:rsidR="00C626A8">
        <w:rPr>
          <w:b w:val="0"/>
        </w:rPr>
        <w:t>вторым</w:t>
      </w:r>
      <w:r w:rsidR="009B0C8F" w:rsidRPr="00715154">
        <w:rPr>
          <w:b w:val="0"/>
        </w:rPr>
        <w:t xml:space="preserve"> пункта 5.7. Правил предоставления субсидий»;</w:t>
      </w:r>
    </w:p>
    <w:p w:rsidR="00715154" w:rsidRDefault="00730174" w:rsidP="000642AC">
      <w:pPr>
        <w:pStyle w:val="ConsPlusTitle"/>
        <w:numPr>
          <w:ilvl w:val="1"/>
          <w:numId w:val="2"/>
        </w:numPr>
        <w:tabs>
          <w:tab w:val="left" w:pos="1134"/>
        </w:tabs>
        <w:ind w:left="0" w:firstLine="426"/>
        <w:jc w:val="both"/>
        <w:outlineLvl w:val="0"/>
        <w:rPr>
          <w:b w:val="0"/>
        </w:rPr>
      </w:pPr>
      <w:r w:rsidRPr="00715154">
        <w:rPr>
          <w:b w:val="0"/>
        </w:rPr>
        <w:t xml:space="preserve">В пункте 7.2. </w:t>
      </w:r>
      <w:r w:rsidR="001E0A69" w:rsidRPr="00715154">
        <w:rPr>
          <w:b w:val="0"/>
        </w:rPr>
        <w:t>слова «разделом 6» заменить словами «разделом 5»;</w:t>
      </w:r>
    </w:p>
    <w:p w:rsidR="0026551F" w:rsidRDefault="003E3C05" w:rsidP="0026551F">
      <w:pPr>
        <w:pStyle w:val="ConsPlusTitle"/>
        <w:numPr>
          <w:ilvl w:val="1"/>
          <w:numId w:val="2"/>
        </w:numPr>
        <w:tabs>
          <w:tab w:val="left" w:pos="1134"/>
        </w:tabs>
        <w:ind w:left="0" w:firstLine="426"/>
        <w:jc w:val="both"/>
        <w:outlineLvl w:val="0"/>
      </w:pPr>
      <w:r w:rsidRPr="0026551F">
        <w:rPr>
          <w:b w:val="0"/>
        </w:rPr>
        <w:t>В п</w:t>
      </w:r>
      <w:r w:rsidR="00730174" w:rsidRPr="0026551F">
        <w:rPr>
          <w:b w:val="0"/>
        </w:rPr>
        <w:t>ункте</w:t>
      </w:r>
      <w:r w:rsidRPr="0026551F">
        <w:rPr>
          <w:b w:val="0"/>
        </w:rPr>
        <w:t xml:space="preserve"> </w:t>
      </w:r>
      <w:r w:rsidR="00751497" w:rsidRPr="0026551F">
        <w:rPr>
          <w:b w:val="0"/>
        </w:rPr>
        <w:t>7.3. слова «</w:t>
      </w:r>
      <w:r w:rsidR="007010A0" w:rsidRPr="0026551F">
        <w:rPr>
          <w:b w:val="0"/>
          <w:bCs/>
          <w:szCs w:val="28"/>
        </w:rPr>
        <w:t>в срок до 15 мая года, следующего за отчетным</w:t>
      </w:r>
      <w:r w:rsidR="00751497" w:rsidRPr="0026551F">
        <w:rPr>
          <w:b w:val="0"/>
        </w:rPr>
        <w:t xml:space="preserve">» </w:t>
      </w:r>
      <w:proofErr w:type="gramStart"/>
      <w:r w:rsidR="00751497" w:rsidRPr="0026551F">
        <w:rPr>
          <w:b w:val="0"/>
        </w:rPr>
        <w:t xml:space="preserve">заменить на </w:t>
      </w:r>
      <w:r w:rsidR="00CD2F2A">
        <w:rPr>
          <w:b w:val="0"/>
        </w:rPr>
        <w:t>слова</w:t>
      </w:r>
      <w:proofErr w:type="gramEnd"/>
      <w:r w:rsidR="00CD2F2A">
        <w:rPr>
          <w:b w:val="0"/>
        </w:rPr>
        <w:t xml:space="preserve"> </w:t>
      </w:r>
      <w:r w:rsidR="009B0C8F" w:rsidRPr="0026551F">
        <w:rPr>
          <w:b w:val="0"/>
        </w:rPr>
        <w:t xml:space="preserve">«не позднее </w:t>
      </w:r>
      <w:r w:rsidR="002F7E89" w:rsidRPr="0026551F">
        <w:rPr>
          <w:b w:val="0"/>
        </w:rPr>
        <w:t>одиннадцати</w:t>
      </w:r>
      <w:r w:rsidR="009B0C8F" w:rsidRPr="0026551F">
        <w:rPr>
          <w:b w:val="0"/>
        </w:rPr>
        <w:t xml:space="preserve"> рабоч</w:t>
      </w:r>
      <w:r w:rsidR="00142E33" w:rsidRPr="0026551F">
        <w:rPr>
          <w:b w:val="0"/>
        </w:rPr>
        <w:t>их</w:t>
      </w:r>
      <w:r w:rsidR="009B0C8F" w:rsidRPr="0026551F">
        <w:rPr>
          <w:b w:val="0"/>
        </w:rPr>
        <w:t xml:space="preserve"> дн</w:t>
      </w:r>
      <w:r w:rsidR="00142E33" w:rsidRPr="0026551F">
        <w:rPr>
          <w:b w:val="0"/>
        </w:rPr>
        <w:t>ей после</w:t>
      </w:r>
      <w:r w:rsidR="00AD08B4" w:rsidRPr="0026551F">
        <w:rPr>
          <w:b w:val="0"/>
        </w:rPr>
        <w:t xml:space="preserve"> срок</w:t>
      </w:r>
      <w:r w:rsidR="00777CC5" w:rsidRPr="0026551F">
        <w:rPr>
          <w:b w:val="0"/>
        </w:rPr>
        <w:t>а</w:t>
      </w:r>
      <w:r w:rsidR="00AD08B4" w:rsidRPr="0026551F">
        <w:rPr>
          <w:b w:val="0"/>
        </w:rPr>
        <w:t>, установленн</w:t>
      </w:r>
      <w:r w:rsidR="00142E33" w:rsidRPr="0026551F">
        <w:rPr>
          <w:b w:val="0"/>
        </w:rPr>
        <w:t>ого</w:t>
      </w:r>
      <w:r w:rsidR="009B0C8F" w:rsidRPr="0026551F">
        <w:rPr>
          <w:b w:val="0"/>
        </w:rPr>
        <w:t xml:space="preserve"> абзацем </w:t>
      </w:r>
      <w:r w:rsidR="00C626A8">
        <w:rPr>
          <w:b w:val="0"/>
        </w:rPr>
        <w:t>вторым</w:t>
      </w:r>
      <w:r w:rsidR="009B0C8F" w:rsidRPr="0026551F">
        <w:rPr>
          <w:b w:val="0"/>
        </w:rPr>
        <w:t xml:space="preserve"> пункта 5.7. </w:t>
      </w:r>
      <w:r w:rsidR="0026551F">
        <w:rPr>
          <w:b w:val="0"/>
        </w:rPr>
        <w:t>Правил предоставления субсидий»</w:t>
      </w:r>
    </w:p>
    <w:p w:rsidR="00915131" w:rsidRDefault="004877D0" w:rsidP="00046326">
      <w:pPr>
        <w:pStyle w:val="ConsPlusTitle"/>
        <w:numPr>
          <w:ilvl w:val="1"/>
          <w:numId w:val="2"/>
        </w:numPr>
        <w:tabs>
          <w:tab w:val="left" w:pos="1134"/>
        </w:tabs>
        <w:ind w:left="0" w:firstLine="426"/>
        <w:jc w:val="both"/>
        <w:outlineLvl w:val="0"/>
        <w:rPr>
          <w:b w:val="0"/>
        </w:rPr>
      </w:pPr>
      <w:r>
        <w:rPr>
          <w:b w:val="0"/>
        </w:rPr>
        <w:t>П</w:t>
      </w:r>
      <w:r w:rsidR="008275FA">
        <w:rPr>
          <w:b w:val="0"/>
        </w:rPr>
        <w:t>риложени</w:t>
      </w:r>
      <w:r>
        <w:rPr>
          <w:b w:val="0"/>
        </w:rPr>
        <w:t>е</w:t>
      </w:r>
      <w:r w:rsidR="008275FA">
        <w:rPr>
          <w:b w:val="0"/>
        </w:rPr>
        <w:t xml:space="preserve"> 1, приложение 2 и приложение 3 </w:t>
      </w:r>
      <w:r w:rsidR="00915131" w:rsidRPr="00915131">
        <w:rPr>
          <w:b w:val="0"/>
        </w:rPr>
        <w:t>к Порядку мониторинга</w:t>
      </w:r>
      <w:r w:rsidR="008275FA">
        <w:rPr>
          <w:b w:val="0"/>
        </w:rPr>
        <w:t xml:space="preserve"> изложить в новой редакции</w:t>
      </w:r>
      <w:bookmarkStart w:id="4" w:name="_GoBack"/>
      <w:bookmarkEnd w:id="4"/>
      <w:r w:rsidR="008275FA">
        <w:rPr>
          <w:b w:val="0"/>
        </w:rPr>
        <w:t xml:space="preserve"> согласно приложению к настоящему Приказу</w:t>
      </w:r>
      <w:r w:rsidR="0098389C">
        <w:rPr>
          <w:b w:val="0"/>
        </w:rPr>
        <w:t>.</w:t>
      </w:r>
    </w:p>
    <w:p w:rsidR="00046326" w:rsidRDefault="00046326" w:rsidP="00046326">
      <w:pPr>
        <w:pStyle w:val="a3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cs="Times New Roman"/>
          <w:szCs w:val="28"/>
        </w:rPr>
      </w:pPr>
    </w:p>
    <w:p w:rsidR="001E0A69" w:rsidRPr="00D816D1" w:rsidRDefault="001E0A69" w:rsidP="000642AC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D816D1">
        <w:rPr>
          <w:rFonts w:cs="Times New Roman"/>
          <w:szCs w:val="28"/>
        </w:rPr>
        <w:t>Контроль за</w:t>
      </w:r>
      <w:proofErr w:type="gramEnd"/>
      <w:r w:rsidRPr="00D816D1">
        <w:rPr>
          <w:rFonts w:cs="Times New Roman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AA038D" w:rsidRPr="00D816D1" w:rsidRDefault="00AA038D" w:rsidP="000642AC">
      <w:pPr>
        <w:pStyle w:val="ConsPlusTitle"/>
        <w:outlineLvl w:val="0"/>
        <w:rPr>
          <w:b w:val="0"/>
        </w:rPr>
      </w:pPr>
    </w:p>
    <w:p w:rsidR="00122758" w:rsidRPr="00D816D1" w:rsidRDefault="00122758" w:rsidP="000642AC">
      <w:pPr>
        <w:pStyle w:val="ConsPlusTitle"/>
        <w:outlineLvl w:val="0"/>
        <w:rPr>
          <w:b w:val="0"/>
        </w:rPr>
      </w:pPr>
    </w:p>
    <w:p w:rsidR="000F09AD" w:rsidRPr="00D816D1" w:rsidRDefault="000F09AD" w:rsidP="000642AC">
      <w:pPr>
        <w:pStyle w:val="ConsPlusNormal"/>
        <w:jc w:val="both"/>
      </w:pPr>
      <w:r w:rsidRPr="00D816D1">
        <w:t>Первый заместитель Председателя</w:t>
      </w:r>
    </w:p>
    <w:p w:rsidR="000F09AD" w:rsidRPr="00D816D1" w:rsidRDefault="000F09AD" w:rsidP="000642AC">
      <w:pPr>
        <w:pStyle w:val="ConsPlusNormal"/>
        <w:jc w:val="both"/>
      </w:pPr>
      <w:r w:rsidRPr="00D816D1">
        <w:t>Правительства Ленинградской области -</w:t>
      </w:r>
    </w:p>
    <w:p w:rsidR="000F09AD" w:rsidRDefault="000F09AD" w:rsidP="000642AC">
      <w:pPr>
        <w:pStyle w:val="ConsPlusNormal"/>
        <w:jc w:val="both"/>
      </w:pPr>
      <w:r w:rsidRPr="00D816D1">
        <w:t>председатель комитета финансов</w:t>
      </w:r>
      <w:r w:rsidRPr="00D816D1">
        <w:tab/>
      </w:r>
      <w:r w:rsidRPr="00D816D1">
        <w:tab/>
      </w:r>
      <w:r w:rsidRPr="00D816D1">
        <w:tab/>
      </w:r>
      <w:r w:rsidRPr="00D816D1">
        <w:tab/>
      </w:r>
      <w:r w:rsidRPr="00D816D1">
        <w:tab/>
      </w:r>
      <w:r w:rsidRPr="00D816D1">
        <w:tab/>
      </w:r>
      <w:r w:rsidRPr="00D816D1">
        <w:tab/>
        <w:t>Р.И.</w:t>
      </w:r>
      <w:r w:rsidR="002876B1" w:rsidRPr="00D816D1">
        <w:t xml:space="preserve"> </w:t>
      </w:r>
      <w:r w:rsidRPr="00D816D1">
        <w:t>Марков</w:t>
      </w:r>
    </w:p>
    <w:p w:rsidR="000C5E43" w:rsidRDefault="000C5E43" w:rsidP="000642AC">
      <w:pPr>
        <w:pStyle w:val="ConsPlusNormal"/>
        <w:jc w:val="both"/>
      </w:pPr>
    </w:p>
    <w:p w:rsidR="000C5E43" w:rsidRDefault="000C5E43" w:rsidP="000642AC">
      <w:pPr>
        <w:pStyle w:val="ConsPlusNormal"/>
        <w:jc w:val="both"/>
      </w:pPr>
    </w:p>
    <w:p w:rsidR="000C5E43" w:rsidRDefault="000C5E43" w:rsidP="000642AC">
      <w:pPr>
        <w:pStyle w:val="ConsPlusNormal"/>
        <w:jc w:val="both"/>
      </w:pPr>
    </w:p>
    <w:p w:rsidR="000C5E43" w:rsidRDefault="000C5E43" w:rsidP="000642AC">
      <w:pPr>
        <w:pStyle w:val="ConsPlusNormal"/>
        <w:jc w:val="both"/>
        <w:sectPr w:rsidR="000C5E43" w:rsidSect="00C21B28">
          <w:pgSz w:w="11905" w:h="16838"/>
          <w:pgMar w:top="539" w:right="565" w:bottom="1134" w:left="1134" w:header="0" w:footer="0" w:gutter="0"/>
          <w:cols w:space="720"/>
        </w:sectPr>
      </w:pPr>
    </w:p>
    <w:p w:rsidR="000C5E43" w:rsidRDefault="000C5E43" w:rsidP="000642AC">
      <w:pPr>
        <w:pStyle w:val="ConsPlusNormal"/>
        <w:jc w:val="both"/>
      </w:pPr>
    </w:p>
    <w:p w:rsidR="00F47089" w:rsidRDefault="00F47089" w:rsidP="002230C3">
      <w:pPr>
        <w:pStyle w:val="ConsPlusNormal"/>
        <w:ind w:firstLine="9923"/>
        <w:jc w:val="right"/>
      </w:pPr>
      <w:r>
        <w:t>Приложение</w:t>
      </w:r>
    </w:p>
    <w:p w:rsidR="00F47089" w:rsidRDefault="00F47089" w:rsidP="002230C3">
      <w:pPr>
        <w:pStyle w:val="ConsPlusNormal"/>
        <w:ind w:firstLine="9923"/>
        <w:jc w:val="right"/>
      </w:pPr>
      <w:r>
        <w:t>к приказу комитета финансов</w:t>
      </w:r>
    </w:p>
    <w:p w:rsidR="00F47089" w:rsidRDefault="00F47089" w:rsidP="002230C3">
      <w:pPr>
        <w:pStyle w:val="ConsPlusNormal"/>
        <w:ind w:firstLine="9923"/>
        <w:jc w:val="right"/>
      </w:pPr>
      <w:r>
        <w:t>Ленинградской области</w:t>
      </w:r>
    </w:p>
    <w:p w:rsidR="00C41002" w:rsidRDefault="00C41002" w:rsidP="002230C3">
      <w:pPr>
        <w:pStyle w:val="ConsPlusNormal"/>
        <w:ind w:firstLine="9923"/>
        <w:jc w:val="right"/>
      </w:pPr>
    </w:p>
    <w:p w:rsidR="00F47089" w:rsidRDefault="00C41002" w:rsidP="002230C3">
      <w:pPr>
        <w:pStyle w:val="ConsPlusNormal"/>
        <w:ind w:firstLine="9923"/>
        <w:jc w:val="right"/>
      </w:pPr>
      <w:r>
        <w:t>о</w:t>
      </w:r>
      <w:r w:rsidR="00F47089">
        <w:t xml:space="preserve">т </w:t>
      </w:r>
      <w:r>
        <w:t>______________№ _____________)</w:t>
      </w:r>
    </w:p>
    <w:p w:rsidR="00C41002" w:rsidRDefault="00C41002" w:rsidP="002230C3">
      <w:pPr>
        <w:pStyle w:val="ConsPlusNormal"/>
        <w:ind w:firstLine="9923"/>
        <w:jc w:val="right"/>
      </w:pPr>
    </w:p>
    <w:p w:rsidR="00882A50" w:rsidRDefault="00B678C9" w:rsidP="002230C3">
      <w:pPr>
        <w:pStyle w:val="ConsPlusNormal"/>
        <w:ind w:firstLine="9923"/>
        <w:jc w:val="right"/>
      </w:pPr>
      <w:r>
        <w:t xml:space="preserve">Приложение 1 </w:t>
      </w:r>
    </w:p>
    <w:p w:rsidR="00882A50" w:rsidRDefault="00B678C9" w:rsidP="002230C3">
      <w:pPr>
        <w:pStyle w:val="ConsPlusNormal"/>
        <w:ind w:firstLine="9923"/>
        <w:jc w:val="right"/>
      </w:pPr>
      <w:r>
        <w:t xml:space="preserve">к порядку </w:t>
      </w:r>
      <w:r w:rsidR="00882A50">
        <w:t xml:space="preserve">проведения </w:t>
      </w:r>
      <w:r>
        <w:t xml:space="preserve">мониторинга </w:t>
      </w:r>
    </w:p>
    <w:p w:rsidR="00882A50" w:rsidRDefault="00B678C9" w:rsidP="002230C3">
      <w:pPr>
        <w:pStyle w:val="ConsPlusNormal"/>
        <w:ind w:firstLine="9923"/>
        <w:jc w:val="right"/>
      </w:pPr>
      <w:r>
        <w:t xml:space="preserve">эффективности использования субсидий </w:t>
      </w:r>
    </w:p>
    <w:p w:rsidR="00882A50" w:rsidRDefault="00B678C9" w:rsidP="002230C3">
      <w:pPr>
        <w:pStyle w:val="ConsPlusNormal"/>
        <w:ind w:firstLine="9923"/>
        <w:jc w:val="right"/>
      </w:pPr>
      <w:r>
        <w:t xml:space="preserve">из областного бюджета </w:t>
      </w:r>
      <w:proofErr w:type="gramStart"/>
      <w:r>
        <w:t>Ленинградской</w:t>
      </w:r>
      <w:proofErr w:type="gramEnd"/>
      <w:r>
        <w:t xml:space="preserve"> </w:t>
      </w:r>
    </w:p>
    <w:p w:rsidR="00882A50" w:rsidRDefault="00B678C9" w:rsidP="002230C3">
      <w:pPr>
        <w:pStyle w:val="ConsPlusNormal"/>
        <w:ind w:firstLine="9923"/>
        <w:jc w:val="right"/>
      </w:pPr>
      <w:r>
        <w:t>области</w:t>
      </w:r>
      <w:r w:rsidR="00882A50">
        <w:t xml:space="preserve"> муниципальными образованиями</w:t>
      </w:r>
    </w:p>
    <w:p w:rsidR="005439E6" w:rsidRDefault="00882A50" w:rsidP="002230C3">
      <w:pPr>
        <w:pStyle w:val="ConsPlusNormal"/>
        <w:ind w:firstLine="9923"/>
        <w:jc w:val="right"/>
      </w:pPr>
      <w:r>
        <w:t>Ленинградской области</w:t>
      </w:r>
      <w:r w:rsidR="00B678C9">
        <w:t>,</w:t>
      </w:r>
      <w:r>
        <w:t xml:space="preserve"> </w:t>
      </w:r>
      <w:proofErr w:type="gramStart"/>
      <w:r w:rsidR="00B678C9">
        <w:t>утвержденному</w:t>
      </w:r>
      <w:proofErr w:type="gramEnd"/>
      <w:r w:rsidR="00B678C9">
        <w:t xml:space="preserve"> </w:t>
      </w:r>
    </w:p>
    <w:p w:rsidR="005439E6" w:rsidRDefault="00B678C9" w:rsidP="002230C3">
      <w:pPr>
        <w:pStyle w:val="ConsPlusNormal"/>
        <w:ind w:firstLine="9923"/>
        <w:jc w:val="right"/>
      </w:pPr>
      <w:r>
        <w:t xml:space="preserve">приказом комитета финансов </w:t>
      </w:r>
    </w:p>
    <w:p w:rsidR="005439E6" w:rsidRDefault="00B678C9" w:rsidP="002230C3">
      <w:pPr>
        <w:pStyle w:val="ConsPlusNormal"/>
        <w:ind w:firstLine="9923"/>
        <w:jc w:val="right"/>
      </w:pPr>
      <w:r>
        <w:t xml:space="preserve">Ленинградской области </w:t>
      </w:r>
    </w:p>
    <w:p w:rsidR="000C5E43" w:rsidRDefault="00F47089" w:rsidP="002230C3">
      <w:pPr>
        <w:pStyle w:val="ConsPlusNormal"/>
        <w:ind w:firstLine="9923"/>
        <w:jc w:val="right"/>
      </w:pPr>
      <w:r>
        <w:t xml:space="preserve">от 26 февраля </w:t>
      </w:r>
      <w:r w:rsidR="00B678C9">
        <w:t>2018</w:t>
      </w:r>
      <w:r>
        <w:t xml:space="preserve"> года</w:t>
      </w:r>
      <w:r w:rsidR="00B678C9">
        <w:t xml:space="preserve"> № 18-02/01-20-19</w:t>
      </w:r>
    </w:p>
    <w:p w:rsidR="00C41002" w:rsidRDefault="00C41002" w:rsidP="00C41002">
      <w:pPr>
        <w:pStyle w:val="ConsPlusNormal"/>
        <w:ind w:firstLine="9923"/>
        <w:jc w:val="right"/>
      </w:pPr>
      <w:proofErr w:type="gramStart"/>
      <w:r>
        <w:t>(в редакции приказа комитета финансов</w:t>
      </w:r>
      <w:proofErr w:type="gramEnd"/>
    </w:p>
    <w:p w:rsidR="00C41002" w:rsidRDefault="00C41002" w:rsidP="00C41002">
      <w:pPr>
        <w:pStyle w:val="ConsPlusNormal"/>
        <w:ind w:firstLine="9923"/>
        <w:jc w:val="right"/>
      </w:pPr>
    </w:p>
    <w:p w:rsidR="00C41002" w:rsidRDefault="00C41002" w:rsidP="00C41002">
      <w:pPr>
        <w:pStyle w:val="ConsPlusNormal"/>
        <w:ind w:firstLine="9923"/>
        <w:jc w:val="right"/>
      </w:pPr>
      <w:r>
        <w:t>от _________________№ _____________)</w:t>
      </w:r>
    </w:p>
    <w:p w:rsidR="00C41002" w:rsidRDefault="00C41002" w:rsidP="002230C3">
      <w:pPr>
        <w:pStyle w:val="ConsPlusNormal"/>
        <w:ind w:firstLine="9923"/>
        <w:jc w:val="right"/>
      </w:pPr>
    </w:p>
    <w:p w:rsidR="00C41002" w:rsidRDefault="00C41002" w:rsidP="00047CCB">
      <w:pPr>
        <w:pStyle w:val="ConsPlusNormal"/>
        <w:jc w:val="center"/>
      </w:pPr>
    </w:p>
    <w:p w:rsidR="00C41002" w:rsidRDefault="00C41002" w:rsidP="00047CCB">
      <w:pPr>
        <w:pStyle w:val="ConsPlusNormal"/>
        <w:jc w:val="center"/>
      </w:pPr>
    </w:p>
    <w:p w:rsidR="00047CCB" w:rsidRDefault="00047CCB" w:rsidP="00047CCB">
      <w:pPr>
        <w:pStyle w:val="ConsPlusNormal"/>
        <w:jc w:val="center"/>
      </w:pPr>
      <w:r>
        <w:t>Информация</w:t>
      </w:r>
    </w:p>
    <w:p w:rsidR="00047CCB" w:rsidRDefault="00047CCB" w:rsidP="00047CCB">
      <w:pPr>
        <w:pStyle w:val="ConsPlusNormal"/>
        <w:jc w:val="center"/>
      </w:pPr>
      <w:r>
        <w:t>об эффективности использования субсидий из областного бюджета Ленинградской области</w:t>
      </w:r>
    </w:p>
    <w:p w:rsidR="00047CCB" w:rsidRDefault="00047CCB" w:rsidP="00047CCB">
      <w:pPr>
        <w:pStyle w:val="ConsPlusNormal"/>
        <w:jc w:val="center"/>
      </w:pPr>
      <w:r>
        <w:t>муниципальными образованиями Ленинградской области</w:t>
      </w:r>
    </w:p>
    <w:p w:rsidR="00047CCB" w:rsidRDefault="00047CCB" w:rsidP="00047CCB">
      <w:pPr>
        <w:pStyle w:val="ConsPlusNormal"/>
      </w:pPr>
    </w:p>
    <w:p w:rsidR="000C5E43" w:rsidRPr="00D816D1" w:rsidRDefault="00047CCB" w:rsidP="00047CCB">
      <w:pPr>
        <w:pStyle w:val="ConsPlusNormal"/>
      </w:pPr>
      <w:r>
        <w:t>Главный распорядитель бюджетных средств ___________________________________________</w:t>
      </w:r>
    </w:p>
    <w:p w:rsidR="00047CCB" w:rsidRDefault="00047CCB" w:rsidP="000C5E43">
      <w:pPr>
        <w:pStyle w:val="ConsPlusNormal"/>
        <w:jc w:val="center"/>
        <w:outlineLvl w:val="2"/>
      </w:pPr>
    </w:p>
    <w:p w:rsidR="00C41002" w:rsidRDefault="00C41002" w:rsidP="000C5E43">
      <w:pPr>
        <w:pStyle w:val="ConsPlusNormal"/>
        <w:jc w:val="center"/>
        <w:outlineLvl w:val="2"/>
      </w:pPr>
    </w:p>
    <w:p w:rsidR="00C41002" w:rsidRDefault="00C41002" w:rsidP="000C5E43">
      <w:pPr>
        <w:pStyle w:val="ConsPlusNormal"/>
        <w:jc w:val="center"/>
        <w:outlineLvl w:val="2"/>
      </w:pPr>
    </w:p>
    <w:p w:rsidR="00C41002" w:rsidRDefault="00C41002" w:rsidP="000C5E43">
      <w:pPr>
        <w:pStyle w:val="ConsPlusNormal"/>
        <w:jc w:val="center"/>
        <w:outlineLvl w:val="2"/>
      </w:pPr>
    </w:p>
    <w:p w:rsidR="00C41002" w:rsidRDefault="00C41002" w:rsidP="000C5E43">
      <w:pPr>
        <w:pStyle w:val="ConsPlusNormal"/>
        <w:jc w:val="center"/>
        <w:outlineLvl w:val="2"/>
      </w:pPr>
    </w:p>
    <w:p w:rsidR="00C41002" w:rsidRDefault="00C41002" w:rsidP="000C5E43">
      <w:pPr>
        <w:pStyle w:val="ConsPlusNormal"/>
        <w:jc w:val="center"/>
        <w:outlineLvl w:val="2"/>
      </w:pPr>
    </w:p>
    <w:p w:rsidR="00C41002" w:rsidRDefault="00C41002" w:rsidP="000C5E43">
      <w:pPr>
        <w:pStyle w:val="ConsPlusNormal"/>
        <w:jc w:val="center"/>
        <w:outlineLvl w:val="2"/>
      </w:pPr>
    </w:p>
    <w:p w:rsidR="00C41002" w:rsidRDefault="00C41002" w:rsidP="000C5E43">
      <w:pPr>
        <w:pStyle w:val="ConsPlusNormal"/>
        <w:jc w:val="center"/>
        <w:outlineLvl w:val="2"/>
      </w:pPr>
    </w:p>
    <w:p w:rsidR="000C5E43" w:rsidRDefault="000C5E43" w:rsidP="000C5E43">
      <w:pPr>
        <w:pStyle w:val="ConsPlusNormal"/>
        <w:jc w:val="center"/>
        <w:outlineLvl w:val="2"/>
      </w:pPr>
      <w:r>
        <w:t>Раздел I</w:t>
      </w:r>
    </w:p>
    <w:p w:rsidR="000C5E43" w:rsidRDefault="000C5E43" w:rsidP="000C5E43">
      <w:pPr>
        <w:pStyle w:val="ConsPlusNormal"/>
        <w:jc w:val="center"/>
      </w:pPr>
      <w:r w:rsidRPr="00B57DB0">
        <w:t>Информация о достижении значений результатов использования субсидий из областного бюджета Ленинградской области муниципальным образованиям за 20___ год</w:t>
      </w:r>
    </w:p>
    <w:p w:rsidR="000C5E43" w:rsidRDefault="000C5E43" w:rsidP="000C5E43">
      <w:pPr>
        <w:spacing w:after="1"/>
      </w:pPr>
    </w:p>
    <w:tbl>
      <w:tblPr>
        <w:tblW w:w="1605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276"/>
        <w:gridCol w:w="884"/>
        <w:gridCol w:w="794"/>
        <w:gridCol w:w="1157"/>
        <w:gridCol w:w="1299"/>
        <w:gridCol w:w="1464"/>
        <w:gridCol w:w="1701"/>
        <w:gridCol w:w="3023"/>
        <w:gridCol w:w="1905"/>
      </w:tblGrid>
      <w:tr w:rsidR="000C5E43" w:rsidRPr="00A67028" w:rsidTr="00487A88">
        <w:tc>
          <w:tcPr>
            <w:tcW w:w="62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№</w:t>
            </w:r>
          </w:p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67028">
              <w:rPr>
                <w:sz w:val="24"/>
                <w:szCs w:val="24"/>
              </w:rPr>
              <w:t>п</w:t>
            </w:r>
            <w:proofErr w:type="gramEnd"/>
            <w:r w:rsidRPr="00A67028">
              <w:rPr>
                <w:sz w:val="24"/>
                <w:szCs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10" w:type="dxa"/>
            <w:gridSpan w:val="5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Значение результата использования субсидии</w:t>
            </w:r>
          </w:p>
        </w:tc>
        <w:tc>
          <w:tcPr>
            <w:tcW w:w="146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 xml:space="preserve">Коэффициент возврата субсидии </w:t>
            </w:r>
            <w:hyperlink w:anchor="P229" w:history="1">
              <w:r w:rsidRPr="00A67028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 xml:space="preserve">Объем фактически предоставленной субсидии в отчетном году </w:t>
            </w:r>
            <w:hyperlink w:anchor="P230" w:history="1">
              <w:r w:rsidRPr="00A67028">
                <w:rPr>
                  <w:color w:val="0000FF"/>
                  <w:sz w:val="24"/>
                  <w:szCs w:val="24"/>
                </w:rPr>
                <w:t>&lt;***&gt;</w:t>
              </w:r>
            </w:hyperlink>
            <w:r w:rsidRPr="00A67028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3023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5% от объема налоговых и неналоговых доходов бюджета муниципального образования, увеличенного на сумму дотаций на выравнивание бюджетной обеспеченности</w:t>
            </w:r>
          </w:p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(руб.)</w:t>
            </w:r>
          </w:p>
        </w:tc>
        <w:tc>
          <w:tcPr>
            <w:tcW w:w="1905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Объем средств, подлежащих возврату в областной бюджет (руб.)</w:t>
            </w:r>
          </w:p>
        </w:tc>
      </w:tr>
      <w:tr w:rsidR="000C5E43" w:rsidRPr="00A67028" w:rsidTr="00487A88">
        <w:tc>
          <w:tcPr>
            <w:tcW w:w="62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 xml:space="preserve">Уровень </w:t>
            </w:r>
            <w:proofErr w:type="spellStart"/>
            <w:r w:rsidRPr="00A67028">
              <w:rPr>
                <w:sz w:val="24"/>
                <w:szCs w:val="24"/>
              </w:rPr>
              <w:t>недостижения</w:t>
            </w:r>
            <w:proofErr w:type="spellEnd"/>
            <w:r w:rsidRPr="00A67028">
              <w:rPr>
                <w:sz w:val="24"/>
                <w:szCs w:val="24"/>
              </w:rPr>
              <w:t xml:space="preserve"> </w:t>
            </w:r>
            <w:hyperlink w:anchor="P229" w:history="1">
              <w:r w:rsidRPr="00A67028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6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131"/>
            <w:bookmarkEnd w:id="5"/>
            <w:r w:rsidRPr="00A6702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132"/>
            <w:bookmarkEnd w:id="6"/>
            <w:r w:rsidRPr="00A67028">
              <w:rPr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" w:name="P133"/>
            <w:bookmarkEnd w:id="7"/>
            <w:r w:rsidRPr="00A67028">
              <w:rPr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" w:name="P134"/>
            <w:bookmarkEnd w:id="8"/>
            <w:r w:rsidRPr="00A67028">
              <w:rPr>
                <w:sz w:val="24"/>
                <w:szCs w:val="24"/>
              </w:rPr>
              <w:t>11</w:t>
            </w:r>
          </w:p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(</w:t>
            </w:r>
            <w:hyperlink w:anchor="P132" w:history="1">
              <w:r w:rsidRPr="00A67028">
                <w:rPr>
                  <w:color w:val="0000FF"/>
                  <w:sz w:val="24"/>
                  <w:szCs w:val="24"/>
                </w:rPr>
                <w:t>9</w:t>
              </w:r>
            </w:hyperlink>
            <w:r w:rsidRPr="00A67028">
              <w:rPr>
                <w:sz w:val="24"/>
                <w:szCs w:val="24"/>
              </w:rPr>
              <w:t xml:space="preserve"> x </w:t>
            </w:r>
            <w:hyperlink w:anchor="P131" w:history="1">
              <w:r w:rsidRPr="00A67028">
                <w:rPr>
                  <w:color w:val="0000FF"/>
                  <w:sz w:val="24"/>
                  <w:szCs w:val="24"/>
                </w:rPr>
                <w:t>8</w:t>
              </w:r>
            </w:hyperlink>
            <w:r w:rsidRPr="00A67028">
              <w:rPr>
                <w:sz w:val="24"/>
                <w:szCs w:val="24"/>
              </w:rPr>
              <w:t xml:space="preserve"> x 0,1), но не более </w:t>
            </w:r>
            <w:hyperlink w:anchor="P133" w:history="1">
              <w:r w:rsidRPr="00A67028">
                <w:rPr>
                  <w:color w:val="0000FF"/>
                  <w:sz w:val="24"/>
                  <w:szCs w:val="24"/>
                </w:rPr>
                <w:t>гр. 10</w:t>
              </w:r>
            </w:hyperlink>
          </w:p>
        </w:tc>
      </w:tr>
      <w:tr w:rsidR="000C5E43" w:rsidRPr="00A67028" w:rsidTr="00487A88">
        <w:tc>
          <w:tcPr>
            <w:tcW w:w="62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1</w:t>
            </w:r>
          </w:p>
        </w:tc>
        <w:tc>
          <w:tcPr>
            <w:tcW w:w="15431" w:type="dxa"/>
            <w:gridSpan w:val="10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Субсидия 1 (Наименование, код целевой статьи расходов)</w:t>
            </w:r>
          </w:p>
        </w:tc>
      </w:tr>
      <w:tr w:rsidR="000C5E43" w:rsidRPr="00A67028" w:rsidTr="00D31AF1">
        <w:trPr>
          <w:trHeight w:val="221"/>
        </w:trPr>
        <w:tc>
          <w:tcPr>
            <w:tcW w:w="62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1.1</w:t>
            </w:r>
          </w:p>
        </w:tc>
        <w:tc>
          <w:tcPr>
            <w:tcW w:w="1928" w:type="dxa"/>
            <w:vMerge w:val="restart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Муниципальное образование 1</w:t>
            </w: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Значение 1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Значение 2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1.2</w:t>
            </w:r>
          </w:p>
        </w:tc>
        <w:tc>
          <w:tcPr>
            <w:tcW w:w="1928" w:type="dxa"/>
            <w:vMerge w:val="restart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Муниципальное образование 2</w:t>
            </w: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Значение 1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Значение 2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ИТОГО по СУБСИДИИ 1</w:t>
            </w: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X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X</w:t>
            </w: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X</w:t>
            </w:r>
          </w:p>
        </w:tc>
        <w:tc>
          <w:tcPr>
            <w:tcW w:w="146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2</w:t>
            </w:r>
          </w:p>
        </w:tc>
        <w:tc>
          <w:tcPr>
            <w:tcW w:w="15431" w:type="dxa"/>
            <w:gridSpan w:val="10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Субсидия 2 (Наименование, код целевой статьи расходов)</w:t>
            </w:r>
          </w:p>
        </w:tc>
      </w:tr>
      <w:tr w:rsidR="000C5E43" w:rsidRPr="00A67028" w:rsidTr="00487A88">
        <w:tc>
          <w:tcPr>
            <w:tcW w:w="62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2.1</w:t>
            </w:r>
          </w:p>
        </w:tc>
        <w:tc>
          <w:tcPr>
            <w:tcW w:w="1928" w:type="dxa"/>
            <w:vMerge w:val="restart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Муниципальное образование 1</w:t>
            </w: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Значение 1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Значение 2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2.2</w:t>
            </w:r>
          </w:p>
        </w:tc>
        <w:tc>
          <w:tcPr>
            <w:tcW w:w="1928" w:type="dxa"/>
            <w:vMerge w:val="restart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 xml:space="preserve">Муниципальное </w:t>
            </w:r>
            <w:r w:rsidRPr="00A67028">
              <w:rPr>
                <w:sz w:val="24"/>
                <w:szCs w:val="24"/>
              </w:rPr>
              <w:lastRenderedPageBreak/>
              <w:t>образование 2</w:t>
            </w: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lastRenderedPageBreak/>
              <w:t>Значение 1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Значение 2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C5E43" w:rsidRPr="00A67028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5E43" w:rsidRPr="00A67028" w:rsidTr="00487A88">
        <w:tc>
          <w:tcPr>
            <w:tcW w:w="62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C5E43" w:rsidRPr="00A67028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ИТОГО по СУБСИДИИ 2</w:t>
            </w:r>
          </w:p>
        </w:tc>
        <w:tc>
          <w:tcPr>
            <w:tcW w:w="1276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X</w:t>
            </w:r>
          </w:p>
        </w:tc>
        <w:tc>
          <w:tcPr>
            <w:tcW w:w="88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X</w:t>
            </w:r>
          </w:p>
        </w:tc>
        <w:tc>
          <w:tcPr>
            <w:tcW w:w="1157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028">
              <w:rPr>
                <w:sz w:val="24"/>
                <w:szCs w:val="24"/>
              </w:rPr>
              <w:t>X</w:t>
            </w:r>
          </w:p>
        </w:tc>
        <w:tc>
          <w:tcPr>
            <w:tcW w:w="1464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C5E43" w:rsidRPr="00A67028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C5E43" w:rsidRDefault="000C5E43" w:rsidP="008D2016">
      <w:pPr>
        <w:pStyle w:val="ConsPlusNormal"/>
        <w:ind w:firstLine="539"/>
        <w:jc w:val="both"/>
      </w:pPr>
    </w:p>
    <w:p w:rsidR="000C5E43" w:rsidRDefault="000C5E43" w:rsidP="008D2016">
      <w:pPr>
        <w:pStyle w:val="ConsPlusNormal"/>
        <w:ind w:firstLine="539"/>
        <w:jc w:val="both"/>
      </w:pPr>
      <w:r>
        <w:t>--------------------------------</w:t>
      </w:r>
    </w:p>
    <w:p w:rsidR="000C5E43" w:rsidRDefault="000C5E43" w:rsidP="008D2016">
      <w:pPr>
        <w:pStyle w:val="ConsPlusNormal"/>
        <w:ind w:firstLine="539"/>
        <w:jc w:val="both"/>
      </w:pPr>
      <w:bookmarkStart w:id="9" w:name="P228"/>
      <w:bookmarkEnd w:id="9"/>
      <w:r>
        <w:t>&lt;*&gt; В разделах I и II показатели указываются в рублях с 2 знаками после запятой.</w:t>
      </w:r>
    </w:p>
    <w:p w:rsidR="000C5E43" w:rsidRDefault="000C5E43" w:rsidP="008D2016">
      <w:pPr>
        <w:pStyle w:val="ConsPlusNormal"/>
        <w:ind w:firstLine="539"/>
        <w:jc w:val="both"/>
      </w:pPr>
      <w:bookmarkStart w:id="10" w:name="P229"/>
      <w:bookmarkEnd w:id="10"/>
      <w:r>
        <w:t>&lt;**&gt; Рассчитывается в соответствии с пунктом 5.2 Правил предоставления субсидий.</w:t>
      </w:r>
    </w:p>
    <w:p w:rsidR="000C5E43" w:rsidRDefault="000C5E43" w:rsidP="008D2016">
      <w:pPr>
        <w:pStyle w:val="ConsPlusNormal"/>
        <w:ind w:firstLine="539"/>
        <w:jc w:val="both"/>
      </w:pPr>
      <w:bookmarkStart w:id="11" w:name="P230"/>
      <w:bookmarkEnd w:id="11"/>
      <w:r>
        <w:t>&lt;***&gt; В соответствии с пунктом 5.1 Правил предоставления субсидий: объем фактически предоставленных бюджету муниципального образования субсидии в отчетном году, за исключением остатка субсидии, не использованного по состоянию на 1 января текущего финансового года.</w:t>
      </w:r>
    </w:p>
    <w:p w:rsidR="00C41002" w:rsidRDefault="00C41002" w:rsidP="00C41002">
      <w:pPr>
        <w:pStyle w:val="ConsPlusNormal"/>
        <w:ind w:firstLine="540"/>
        <w:jc w:val="both"/>
      </w:pPr>
      <w:bookmarkStart w:id="12" w:name="P231"/>
      <w:bookmarkEnd w:id="12"/>
    </w:p>
    <w:p w:rsidR="00C41002" w:rsidRDefault="00C41002" w:rsidP="00C41002">
      <w:pPr>
        <w:pStyle w:val="ConsPlusNormal"/>
        <w:jc w:val="center"/>
        <w:outlineLvl w:val="2"/>
      </w:pPr>
      <w:bookmarkStart w:id="13" w:name="P233"/>
      <w:bookmarkEnd w:id="13"/>
      <w:r>
        <w:t>Раздел II</w:t>
      </w:r>
    </w:p>
    <w:p w:rsidR="00C41002" w:rsidRDefault="00C41002" w:rsidP="00C41002">
      <w:pPr>
        <w:pStyle w:val="ConsPlusNormal"/>
        <w:jc w:val="center"/>
      </w:pPr>
      <w:r>
        <w:t>Информация о соблюдении муниципальными образованиями</w:t>
      </w:r>
      <w:r w:rsidR="00F565C7">
        <w:t xml:space="preserve"> </w:t>
      </w:r>
      <w:r>
        <w:t>фактической доли расходов бюджета муниципального образования</w:t>
      </w:r>
      <w:r w:rsidR="00F565C7">
        <w:t xml:space="preserve"> </w:t>
      </w:r>
      <w:r>
        <w:t xml:space="preserve">на финансирование обязательств, </w:t>
      </w:r>
      <w:proofErr w:type="spellStart"/>
      <w:r>
        <w:t>софинансируемых</w:t>
      </w:r>
      <w:proofErr w:type="spellEnd"/>
      <w:r>
        <w:t xml:space="preserve"> за счет</w:t>
      </w:r>
    </w:p>
    <w:p w:rsidR="00C41002" w:rsidRDefault="00C41002" w:rsidP="00C41002">
      <w:pPr>
        <w:pStyle w:val="ConsPlusNormal"/>
        <w:jc w:val="center"/>
      </w:pPr>
      <w:r>
        <w:t>субсидии в отчетном году из областного бюджета</w:t>
      </w:r>
      <w:r w:rsidR="00F565C7">
        <w:t xml:space="preserve"> </w:t>
      </w:r>
      <w:r>
        <w:t>Ленинградской области</w:t>
      </w:r>
    </w:p>
    <w:p w:rsidR="00C41002" w:rsidRDefault="00C41002" w:rsidP="00C41002">
      <w:pPr>
        <w:pStyle w:val="ConsPlusNormal"/>
        <w:jc w:val="center"/>
      </w:pPr>
      <w:r>
        <w:t>за 20__ год</w:t>
      </w:r>
    </w:p>
    <w:p w:rsidR="00C41002" w:rsidRDefault="00C41002" w:rsidP="00C41002">
      <w:pPr>
        <w:pStyle w:val="ConsPlusNormal"/>
        <w:jc w:val="right"/>
      </w:pPr>
      <w:r>
        <w:t xml:space="preserve">(руб.) </w:t>
      </w:r>
      <w:hyperlink w:anchor="P228" w:history="1">
        <w:r>
          <w:rPr>
            <w:color w:val="0000FF"/>
          </w:rPr>
          <w:t>&lt;*&gt;</w:t>
        </w:r>
      </w:hyperlink>
    </w:p>
    <w:p w:rsidR="00C41002" w:rsidRDefault="00C41002" w:rsidP="00C41002">
      <w:pPr>
        <w:spacing w:after="1"/>
      </w:pPr>
    </w:p>
    <w:tbl>
      <w:tblPr>
        <w:tblW w:w="1599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0"/>
        <w:gridCol w:w="964"/>
        <w:gridCol w:w="1077"/>
        <w:gridCol w:w="964"/>
        <w:gridCol w:w="1134"/>
        <w:gridCol w:w="794"/>
        <w:gridCol w:w="964"/>
        <w:gridCol w:w="1191"/>
        <w:gridCol w:w="964"/>
        <w:gridCol w:w="1077"/>
        <w:gridCol w:w="1787"/>
        <w:gridCol w:w="1214"/>
        <w:gridCol w:w="1310"/>
      </w:tblGrid>
      <w:tr w:rsidR="00C41002" w:rsidRPr="00F565C7" w:rsidTr="004877D0">
        <w:tc>
          <w:tcPr>
            <w:tcW w:w="567" w:type="dxa"/>
            <w:vMerge w:val="restart"/>
          </w:tcPr>
          <w:p w:rsidR="00C41002" w:rsidRPr="00F565C7" w:rsidRDefault="00F565C7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№</w:t>
            </w:r>
            <w:r w:rsidR="00C41002" w:rsidRPr="00F565C7">
              <w:rPr>
                <w:sz w:val="24"/>
                <w:szCs w:val="24"/>
              </w:rPr>
              <w:t xml:space="preserve"> </w:t>
            </w:r>
            <w:proofErr w:type="gramStart"/>
            <w:r w:rsidR="00C41002" w:rsidRPr="00F565C7">
              <w:rPr>
                <w:sz w:val="24"/>
                <w:szCs w:val="24"/>
              </w:rPr>
              <w:t>п</w:t>
            </w:r>
            <w:proofErr w:type="gramEnd"/>
            <w:r w:rsidR="00C41002" w:rsidRPr="00F565C7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91" w:type="dxa"/>
            <w:gridSpan w:val="3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Бюджетные ассигнования, предусмотренные соглашением о предоставлении субсидии, рублей</w:t>
            </w:r>
          </w:p>
        </w:tc>
        <w:tc>
          <w:tcPr>
            <w:tcW w:w="2098" w:type="dxa"/>
            <w:gridSpan w:val="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Плановое соотношение расходов по условиям соглашения</w:t>
            </w:r>
            <w:proofErr w:type="gramStart"/>
            <w:r w:rsidRPr="00F565C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49" w:type="dxa"/>
            <w:gridSpan w:val="3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Исполнено, рублей</w:t>
            </w:r>
          </w:p>
        </w:tc>
        <w:tc>
          <w:tcPr>
            <w:tcW w:w="2041" w:type="dxa"/>
            <w:gridSpan w:val="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Фактическое соотношение расходов по условиям соглашения</w:t>
            </w:r>
            <w:proofErr w:type="gramStart"/>
            <w:r w:rsidRPr="00F565C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87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Должно быть исполнено за счет средств областного бюджета, рублей</w:t>
            </w:r>
          </w:p>
        </w:tc>
        <w:tc>
          <w:tcPr>
            <w:tcW w:w="2524" w:type="dxa"/>
            <w:gridSpan w:val="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Отклонение от установленного соотношения расходов по условиям соглашения, рублей</w:t>
            </w:r>
          </w:p>
        </w:tc>
      </w:tr>
      <w:tr w:rsidR="00C41002" w:rsidRPr="00F565C7" w:rsidTr="004877D0">
        <w:tc>
          <w:tcPr>
            <w:tcW w:w="567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Всего</w:t>
            </w:r>
          </w:p>
        </w:tc>
        <w:tc>
          <w:tcPr>
            <w:tcW w:w="2041" w:type="dxa"/>
            <w:gridSpan w:val="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94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Всего</w:t>
            </w:r>
          </w:p>
        </w:tc>
        <w:tc>
          <w:tcPr>
            <w:tcW w:w="2155" w:type="dxa"/>
            <w:gridSpan w:val="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87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(-)</w:t>
            </w:r>
          </w:p>
        </w:tc>
        <w:tc>
          <w:tcPr>
            <w:tcW w:w="1310" w:type="dxa"/>
            <w:vMerge w:val="restart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(+)</w:t>
            </w:r>
          </w:p>
        </w:tc>
      </w:tr>
      <w:tr w:rsidR="00C41002" w:rsidRPr="00F565C7" w:rsidTr="004877D0">
        <w:tc>
          <w:tcPr>
            <w:tcW w:w="567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41002" w:rsidRPr="00F565C7" w:rsidRDefault="00C41002" w:rsidP="00487A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4" w:name="P267"/>
            <w:bookmarkEnd w:id="14"/>
            <w:r w:rsidRPr="00F565C7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5" w:name="P269"/>
            <w:bookmarkEnd w:id="15"/>
            <w:r w:rsidRPr="00F565C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6" w:name="P271"/>
            <w:bookmarkEnd w:id="16"/>
            <w:r w:rsidRPr="00F565C7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7" w:name="P272"/>
            <w:bookmarkEnd w:id="17"/>
            <w:r w:rsidRPr="00F565C7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12</w:t>
            </w: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8" w:name="P276"/>
            <w:bookmarkEnd w:id="18"/>
            <w:r w:rsidRPr="00F565C7">
              <w:rPr>
                <w:sz w:val="24"/>
                <w:szCs w:val="24"/>
              </w:rPr>
              <w:t>13 (</w:t>
            </w:r>
            <w:hyperlink w:anchor="P271" w:history="1">
              <w:r w:rsidRPr="00F565C7">
                <w:rPr>
                  <w:color w:val="0000FF"/>
                  <w:sz w:val="24"/>
                  <w:szCs w:val="24"/>
                </w:rPr>
                <w:t>8</w:t>
              </w:r>
            </w:hyperlink>
            <w:r w:rsidRPr="00F565C7">
              <w:rPr>
                <w:sz w:val="24"/>
                <w:szCs w:val="24"/>
              </w:rPr>
              <w:t xml:space="preserve"> x </w:t>
            </w:r>
            <w:hyperlink w:anchor="P269" w:history="1">
              <w:r w:rsidRPr="00F565C7">
                <w:rPr>
                  <w:color w:val="0000FF"/>
                  <w:sz w:val="24"/>
                  <w:szCs w:val="24"/>
                </w:rPr>
                <w:t>6</w:t>
              </w:r>
            </w:hyperlink>
            <w:r w:rsidRPr="00F565C7">
              <w:rPr>
                <w:sz w:val="24"/>
                <w:szCs w:val="24"/>
              </w:rPr>
              <w:t xml:space="preserve">), но не более </w:t>
            </w:r>
            <w:hyperlink w:anchor="P267" w:history="1">
              <w:r w:rsidRPr="00F565C7">
                <w:rPr>
                  <w:color w:val="0000FF"/>
                  <w:sz w:val="24"/>
                  <w:szCs w:val="24"/>
                </w:rPr>
                <w:t>гр. 4</w:t>
              </w:r>
            </w:hyperlink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14 (</w:t>
            </w:r>
            <w:hyperlink w:anchor="P272" w:history="1">
              <w:r w:rsidRPr="00F565C7">
                <w:rPr>
                  <w:color w:val="0000FF"/>
                  <w:sz w:val="24"/>
                  <w:szCs w:val="24"/>
                </w:rPr>
                <w:t>9</w:t>
              </w:r>
            </w:hyperlink>
            <w:r w:rsidRPr="00F565C7">
              <w:rPr>
                <w:sz w:val="24"/>
                <w:szCs w:val="24"/>
              </w:rPr>
              <w:t xml:space="preserve"> - </w:t>
            </w:r>
            <w:hyperlink w:anchor="P276" w:history="1">
              <w:r w:rsidRPr="00F565C7">
                <w:rPr>
                  <w:color w:val="0000FF"/>
                  <w:sz w:val="24"/>
                  <w:szCs w:val="24"/>
                </w:rPr>
                <w:t>13</w:t>
              </w:r>
            </w:hyperlink>
            <w:r w:rsidRPr="00F565C7">
              <w:rPr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15 (</w:t>
            </w:r>
            <w:hyperlink w:anchor="P272" w:history="1">
              <w:r w:rsidRPr="00F565C7">
                <w:rPr>
                  <w:color w:val="0000FF"/>
                  <w:sz w:val="24"/>
                  <w:szCs w:val="24"/>
                </w:rPr>
                <w:t>9</w:t>
              </w:r>
            </w:hyperlink>
            <w:r w:rsidRPr="00F565C7">
              <w:rPr>
                <w:sz w:val="24"/>
                <w:szCs w:val="24"/>
              </w:rPr>
              <w:t xml:space="preserve"> - </w:t>
            </w:r>
            <w:hyperlink w:anchor="P276" w:history="1">
              <w:r w:rsidRPr="00F565C7">
                <w:rPr>
                  <w:color w:val="0000FF"/>
                  <w:sz w:val="24"/>
                  <w:szCs w:val="24"/>
                </w:rPr>
                <w:t>13</w:t>
              </w:r>
            </w:hyperlink>
            <w:r w:rsidRPr="00F565C7">
              <w:rPr>
                <w:sz w:val="24"/>
                <w:szCs w:val="24"/>
              </w:rPr>
              <w:t>)</w:t>
            </w: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  <w:gridSpan w:val="1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Субсидия 1 (Наименование, код целевой статьи расходов)</w:t>
            </w:r>
          </w:p>
        </w:tc>
        <w:tc>
          <w:tcPr>
            <w:tcW w:w="2524" w:type="dxa"/>
            <w:gridSpan w:val="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  <w:gridSpan w:val="1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Субсидия 2 (Наименование, код целевой статьи расходов)</w:t>
            </w:r>
          </w:p>
        </w:tc>
        <w:tc>
          <w:tcPr>
            <w:tcW w:w="2524" w:type="dxa"/>
            <w:gridSpan w:val="2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5C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41002" w:rsidRPr="00F565C7" w:rsidTr="004877D0">
        <w:tc>
          <w:tcPr>
            <w:tcW w:w="56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C41002" w:rsidRPr="00F565C7" w:rsidRDefault="00C41002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41002" w:rsidRDefault="00C41002" w:rsidP="00C41002">
      <w:pPr>
        <w:pStyle w:val="ConsPlusNormal"/>
        <w:ind w:firstLine="540"/>
        <w:jc w:val="both"/>
      </w:pPr>
    </w:p>
    <w:p w:rsidR="00F565C7" w:rsidRDefault="00F565C7" w:rsidP="00F565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C7" w:rsidRPr="008D2016" w:rsidRDefault="00F565C7" w:rsidP="00F565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16"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  <w:t xml:space="preserve">    (подпись)      (расшифровка подписи)</w:t>
      </w:r>
    </w:p>
    <w:p w:rsidR="00F565C7" w:rsidRPr="008D2016" w:rsidRDefault="00F565C7" w:rsidP="00F565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16"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 (для ГРБС)                     (подпись)      (расшифровка подписи)</w:t>
      </w:r>
    </w:p>
    <w:p w:rsidR="00F565C7" w:rsidRPr="008D2016" w:rsidRDefault="00F565C7" w:rsidP="00F565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16">
        <w:rPr>
          <w:rFonts w:ascii="Times New Roman" w:hAnsi="Times New Roman" w:cs="Times New Roman"/>
          <w:sz w:val="28"/>
          <w:szCs w:val="28"/>
        </w:rPr>
        <w:t>Исполнитель                           (подпись)      (расшифровка подписи)</w:t>
      </w:r>
    </w:p>
    <w:p w:rsidR="00F565C7" w:rsidRPr="008D2016" w:rsidRDefault="00F565C7" w:rsidP="00F565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16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C5E43" w:rsidRDefault="000C5E43" w:rsidP="000C5E43">
      <w:pPr>
        <w:pStyle w:val="ConsPlusNormal"/>
        <w:spacing w:before="280"/>
        <w:ind w:firstLine="540"/>
        <w:jc w:val="both"/>
      </w:pPr>
    </w:p>
    <w:p w:rsidR="008D2016" w:rsidRDefault="008D2016" w:rsidP="002230C3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8D2016" w:rsidRDefault="008D2016" w:rsidP="002230C3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230C3" w:rsidRDefault="002230C3" w:rsidP="002230C3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2230C3" w:rsidRDefault="002230C3" w:rsidP="002230C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проведения мониторинга</w:t>
      </w:r>
    </w:p>
    <w:p w:rsidR="002230C3" w:rsidRDefault="002230C3" w:rsidP="002230C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эффективности использования субсидий</w:t>
      </w:r>
    </w:p>
    <w:p w:rsidR="002230C3" w:rsidRDefault="002230C3" w:rsidP="002230C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областного бюджета </w:t>
      </w:r>
      <w:proofErr w:type="gramStart"/>
      <w:r>
        <w:rPr>
          <w:rFonts w:cs="Times New Roman"/>
          <w:szCs w:val="28"/>
        </w:rPr>
        <w:t>Ленинградской</w:t>
      </w:r>
      <w:proofErr w:type="gramEnd"/>
    </w:p>
    <w:p w:rsidR="002230C3" w:rsidRDefault="002230C3" w:rsidP="002230C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области муниципальными образованиями</w:t>
      </w:r>
    </w:p>
    <w:p w:rsidR="002230C3" w:rsidRDefault="002230C3" w:rsidP="002230C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Ленинградской области, </w:t>
      </w:r>
      <w:proofErr w:type="gramStart"/>
      <w:r>
        <w:rPr>
          <w:rFonts w:cs="Times New Roman"/>
          <w:szCs w:val="28"/>
        </w:rPr>
        <w:t>утвержденному</w:t>
      </w:r>
      <w:proofErr w:type="gramEnd"/>
    </w:p>
    <w:p w:rsidR="002230C3" w:rsidRDefault="002230C3" w:rsidP="002230C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 комитета финансов</w:t>
      </w:r>
    </w:p>
    <w:p w:rsidR="002230C3" w:rsidRDefault="002230C3" w:rsidP="002230C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2230C3" w:rsidRDefault="00F47089" w:rsidP="002230C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t xml:space="preserve">от 26 февраля 2018 года </w:t>
      </w:r>
      <w:r>
        <w:rPr>
          <w:rFonts w:cs="Times New Roman"/>
          <w:szCs w:val="28"/>
        </w:rPr>
        <w:t>№</w:t>
      </w:r>
      <w:r w:rsidR="002230C3">
        <w:rPr>
          <w:rFonts w:cs="Times New Roman"/>
          <w:szCs w:val="28"/>
        </w:rPr>
        <w:t xml:space="preserve"> 18-02/01-20-19</w:t>
      </w:r>
    </w:p>
    <w:p w:rsidR="008D2016" w:rsidRDefault="008D2016" w:rsidP="008D2016">
      <w:pPr>
        <w:pStyle w:val="ConsPlusNormal"/>
        <w:ind w:firstLine="9923"/>
        <w:jc w:val="right"/>
      </w:pPr>
      <w:proofErr w:type="gramStart"/>
      <w:r>
        <w:t>(в редакции приказа комитета финансов</w:t>
      </w:r>
      <w:proofErr w:type="gramEnd"/>
    </w:p>
    <w:p w:rsidR="008D2016" w:rsidRDefault="008D2016" w:rsidP="008D2016">
      <w:pPr>
        <w:pStyle w:val="ConsPlusNormal"/>
        <w:ind w:firstLine="9923"/>
        <w:jc w:val="right"/>
      </w:pPr>
    </w:p>
    <w:p w:rsidR="008D2016" w:rsidRDefault="008D2016" w:rsidP="008D2016">
      <w:pPr>
        <w:pStyle w:val="ConsPlusNormal"/>
        <w:ind w:firstLine="9923"/>
        <w:jc w:val="right"/>
      </w:pPr>
      <w:r>
        <w:t>от _________________№ _____________</w:t>
      </w:r>
      <w:r w:rsidR="00F42E64">
        <w:t>)</w:t>
      </w:r>
    </w:p>
    <w:p w:rsidR="008D2016" w:rsidRDefault="008D2016" w:rsidP="000C5E43">
      <w:pPr>
        <w:pStyle w:val="ConsPlusNormal"/>
        <w:jc w:val="center"/>
      </w:pPr>
      <w:bookmarkStart w:id="19" w:name="P519"/>
      <w:bookmarkEnd w:id="19"/>
    </w:p>
    <w:p w:rsidR="000C5E43" w:rsidRDefault="000C5E43" w:rsidP="000C5E43">
      <w:pPr>
        <w:pStyle w:val="ConsPlusNormal"/>
        <w:jc w:val="center"/>
      </w:pPr>
      <w:r>
        <w:t>Информация об объеме средств, подлежащих возврату муниципальными образованиями в областной бюджет</w:t>
      </w:r>
    </w:p>
    <w:p w:rsidR="000C5E43" w:rsidRDefault="000C5E43" w:rsidP="000C5E43">
      <w:pPr>
        <w:pStyle w:val="ConsPlusNormal"/>
        <w:jc w:val="center"/>
      </w:pPr>
      <w:r>
        <w:t xml:space="preserve">Ленинградской области в связи с </w:t>
      </w:r>
      <w:proofErr w:type="spellStart"/>
      <w:r>
        <w:t>недостижением</w:t>
      </w:r>
      <w:proofErr w:type="spellEnd"/>
      <w:r>
        <w:t xml:space="preserve"> </w:t>
      </w:r>
      <w:r w:rsidRPr="00175502">
        <w:t>значений результатов использования субсидий</w:t>
      </w:r>
    </w:p>
    <w:p w:rsidR="000C5E43" w:rsidRDefault="000C5E43" w:rsidP="000C5E43">
      <w:pPr>
        <w:pStyle w:val="ConsPlusNormal"/>
        <w:jc w:val="center"/>
      </w:pPr>
      <w:r>
        <w:t>за 20___ год</w:t>
      </w:r>
    </w:p>
    <w:p w:rsidR="000C5E43" w:rsidRDefault="000C5E43" w:rsidP="000C5E43">
      <w:pPr>
        <w:pStyle w:val="ConsPlusNormal"/>
        <w:ind w:firstLine="540"/>
        <w:jc w:val="both"/>
      </w:pPr>
    </w:p>
    <w:tbl>
      <w:tblPr>
        <w:tblW w:w="1624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756"/>
        <w:gridCol w:w="2773"/>
        <w:gridCol w:w="851"/>
        <w:gridCol w:w="2779"/>
        <w:gridCol w:w="2835"/>
        <w:gridCol w:w="907"/>
        <w:gridCol w:w="794"/>
      </w:tblGrid>
      <w:tr w:rsidR="000C5E43" w:rsidRPr="00A5749D" w:rsidTr="00487A88">
        <w:tc>
          <w:tcPr>
            <w:tcW w:w="567" w:type="dxa"/>
            <w:vMerge w:val="restart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5749D">
              <w:rPr>
                <w:sz w:val="24"/>
                <w:szCs w:val="24"/>
              </w:rPr>
              <w:t xml:space="preserve"> </w:t>
            </w:r>
            <w:proofErr w:type="gramStart"/>
            <w:r w:rsidRPr="00A5749D">
              <w:rPr>
                <w:sz w:val="24"/>
                <w:szCs w:val="24"/>
              </w:rPr>
              <w:t>п</w:t>
            </w:r>
            <w:proofErr w:type="gramEnd"/>
            <w:r w:rsidRPr="00A5749D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380" w:type="dxa"/>
            <w:gridSpan w:val="3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6521" w:type="dxa"/>
            <w:gridSpan w:val="3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794" w:type="dxa"/>
            <w:vMerge w:val="restart"/>
          </w:tcPr>
          <w:p w:rsidR="000C5E43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5E43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0C5E43" w:rsidRPr="00A5749D" w:rsidTr="00487A88">
        <w:tc>
          <w:tcPr>
            <w:tcW w:w="567" w:type="dxa"/>
            <w:vMerge/>
          </w:tcPr>
          <w:p w:rsidR="000C5E43" w:rsidRPr="00A5749D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E43" w:rsidRPr="00A5749D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Субсидия 1 (Наименование, код целевой статьи расходов)</w:t>
            </w:r>
          </w:p>
        </w:tc>
        <w:tc>
          <w:tcPr>
            <w:tcW w:w="2773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Субсидия 2 (Наименование, код целевой статьи расходов)</w:t>
            </w:r>
          </w:p>
        </w:tc>
        <w:tc>
          <w:tcPr>
            <w:tcW w:w="851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Итого</w:t>
            </w:r>
          </w:p>
        </w:tc>
        <w:tc>
          <w:tcPr>
            <w:tcW w:w="2779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Субсидия 1 (Наименование, код целевой статьи расходов)</w:t>
            </w:r>
          </w:p>
        </w:tc>
        <w:tc>
          <w:tcPr>
            <w:tcW w:w="2835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Субсидия 2 (Наименование, код целевой статьи расходов)</w:t>
            </w:r>
          </w:p>
        </w:tc>
        <w:tc>
          <w:tcPr>
            <w:tcW w:w="90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Итого</w:t>
            </w:r>
          </w:p>
        </w:tc>
        <w:tc>
          <w:tcPr>
            <w:tcW w:w="794" w:type="dxa"/>
            <w:vMerge/>
          </w:tcPr>
          <w:p w:rsidR="000C5E43" w:rsidRPr="00A5749D" w:rsidRDefault="000C5E43" w:rsidP="00487A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5E43" w:rsidRPr="00A5749D" w:rsidTr="00487A88">
        <w:tc>
          <w:tcPr>
            <w:tcW w:w="56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9</w:t>
            </w:r>
          </w:p>
        </w:tc>
      </w:tr>
      <w:tr w:rsidR="000C5E43" w:rsidRPr="00A5749D" w:rsidTr="00487A88">
        <w:tc>
          <w:tcPr>
            <w:tcW w:w="16246" w:type="dxa"/>
            <w:gridSpan w:val="9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 xml:space="preserve">Объем средств, подлежащих возврату в областной бюджет в связи с </w:t>
            </w:r>
            <w:proofErr w:type="spellStart"/>
            <w:r w:rsidRPr="00A5749D">
              <w:rPr>
                <w:sz w:val="24"/>
                <w:szCs w:val="24"/>
              </w:rPr>
              <w:t>недостижением</w:t>
            </w:r>
            <w:proofErr w:type="spellEnd"/>
            <w:r w:rsidRPr="00A5749D">
              <w:rPr>
                <w:sz w:val="24"/>
                <w:szCs w:val="24"/>
              </w:rPr>
              <w:t xml:space="preserve"> значений результатов использования субсидий</w:t>
            </w:r>
          </w:p>
        </w:tc>
      </w:tr>
      <w:tr w:rsidR="000C5E43" w:rsidRPr="00A5749D" w:rsidTr="00487A88">
        <w:tc>
          <w:tcPr>
            <w:tcW w:w="56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5749D" w:rsidTr="00487A88">
        <w:tc>
          <w:tcPr>
            <w:tcW w:w="56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5749D" w:rsidTr="00487A88">
        <w:tc>
          <w:tcPr>
            <w:tcW w:w="56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5749D" w:rsidTr="00487A88">
        <w:tc>
          <w:tcPr>
            <w:tcW w:w="56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5E43" w:rsidRPr="00A5749D" w:rsidRDefault="000C5E43" w:rsidP="00487A88">
            <w:pPr>
              <w:pStyle w:val="ConsPlusNormal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...</w:t>
            </w:r>
          </w:p>
        </w:tc>
        <w:tc>
          <w:tcPr>
            <w:tcW w:w="2756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5749D" w:rsidTr="00487A88">
        <w:tc>
          <w:tcPr>
            <w:tcW w:w="56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ИТОГО сумма к возврату</w:t>
            </w:r>
          </w:p>
        </w:tc>
        <w:tc>
          <w:tcPr>
            <w:tcW w:w="2756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5749D" w:rsidTr="00487A88">
        <w:tc>
          <w:tcPr>
            <w:tcW w:w="16246" w:type="dxa"/>
            <w:gridSpan w:val="9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Объем фактически предоставленной субсидии по всем муниципальным образованиям в отчетном году, за исключением остатка субсидии, не использованного по состоянию на 1 января текущего финансового года</w:t>
            </w:r>
          </w:p>
        </w:tc>
      </w:tr>
      <w:tr w:rsidR="000C5E43" w:rsidRPr="00A5749D" w:rsidTr="00487A88">
        <w:tc>
          <w:tcPr>
            <w:tcW w:w="56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X</w:t>
            </w:r>
          </w:p>
        </w:tc>
        <w:tc>
          <w:tcPr>
            <w:tcW w:w="2756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5E43" w:rsidRPr="00A5749D" w:rsidTr="00487A88">
        <w:tc>
          <w:tcPr>
            <w:tcW w:w="16246" w:type="dxa"/>
            <w:gridSpan w:val="9"/>
          </w:tcPr>
          <w:p w:rsidR="000C5E43" w:rsidRPr="00A5749D" w:rsidRDefault="000C5E43" w:rsidP="00487A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Удельный вес суммы возврата, %</w:t>
            </w:r>
          </w:p>
        </w:tc>
      </w:tr>
      <w:tr w:rsidR="000C5E43" w:rsidRPr="00A5749D" w:rsidTr="00487A88">
        <w:tc>
          <w:tcPr>
            <w:tcW w:w="567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A5749D">
              <w:rPr>
                <w:sz w:val="24"/>
                <w:szCs w:val="24"/>
              </w:rPr>
              <w:t>X</w:t>
            </w:r>
          </w:p>
        </w:tc>
        <w:tc>
          <w:tcPr>
            <w:tcW w:w="2756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C5E43" w:rsidRPr="00A5749D" w:rsidRDefault="000C5E43" w:rsidP="008D2016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1AF1" w:rsidRDefault="00D31AF1" w:rsidP="008D20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43" w:rsidRPr="008D2016" w:rsidRDefault="000C5E43" w:rsidP="008D20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16"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</w:r>
      <w:r w:rsidRPr="008D2016">
        <w:rPr>
          <w:rFonts w:ascii="Times New Roman" w:hAnsi="Times New Roman" w:cs="Times New Roman"/>
          <w:sz w:val="28"/>
          <w:szCs w:val="28"/>
        </w:rPr>
        <w:tab/>
        <w:t xml:space="preserve">    (подпись)      (расшифровка подписи)</w:t>
      </w:r>
    </w:p>
    <w:p w:rsidR="000C5E43" w:rsidRPr="008D2016" w:rsidRDefault="000C5E43" w:rsidP="008D20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16"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 (для ГРБС)                     (подпись)      (расшифровка подписи)</w:t>
      </w:r>
    </w:p>
    <w:p w:rsidR="000C5E43" w:rsidRPr="008D2016" w:rsidRDefault="000C5E43" w:rsidP="008D20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16">
        <w:rPr>
          <w:rFonts w:ascii="Times New Roman" w:hAnsi="Times New Roman" w:cs="Times New Roman"/>
          <w:sz w:val="28"/>
          <w:szCs w:val="28"/>
        </w:rPr>
        <w:t>Исполнитель                           (подпись)      (расшифровка подписи)</w:t>
      </w:r>
    </w:p>
    <w:p w:rsidR="000C5E43" w:rsidRPr="008D2016" w:rsidRDefault="000C5E43" w:rsidP="008D20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16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C5E43" w:rsidRDefault="000C5E43" w:rsidP="000C5E43">
      <w:pPr>
        <w:sectPr w:rsidR="000C5E43" w:rsidSect="005536F7">
          <w:pgSz w:w="16840" w:h="11907" w:orient="landscape" w:code="9"/>
          <w:pgMar w:top="284" w:right="539" w:bottom="851" w:left="1134" w:header="0" w:footer="0" w:gutter="0"/>
          <w:cols w:space="720"/>
        </w:sectPr>
      </w:pPr>
    </w:p>
    <w:p w:rsidR="00F42E64" w:rsidRDefault="00F42E64" w:rsidP="00F42E64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20" w:name="P644"/>
      <w:bookmarkEnd w:id="20"/>
      <w:r>
        <w:rPr>
          <w:rFonts w:cs="Times New Roman"/>
          <w:szCs w:val="28"/>
        </w:rPr>
        <w:lastRenderedPageBreak/>
        <w:t xml:space="preserve">Приложение </w:t>
      </w:r>
      <w:r w:rsidR="00047CCB">
        <w:rPr>
          <w:rFonts w:cs="Times New Roman"/>
          <w:szCs w:val="28"/>
        </w:rPr>
        <w:t>3</w:t>
      </w:r>
    </w:p>
    <w:p w:rsidR="00F42E64" w:rsidRDefault="00F42E64" w:rsidP="00F42E6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проведения мониторинга</w:t>
      </w:r>
    </w:p>
    <w:p w:rsidR="00F42E64" w:rsidRDefault="00F42E64" w:rsidP="00F42E6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эффективности использования субсидий</w:t>
      </w:r>
    </w:p>
    <w:p w:rsidR="00F42E64" w:rsidRDefault="00F42E64" w:rsidP="00F42E6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областного бюджета </w:t>
      </w:r>
      <w:proofErr w:type="gramStart"/>
      <w:r>
        <w:rPr>
          <w:rFonts w:cs="Times New Roman"/>
          <w:szCs w:val="28"/>
        </w:rPr>
        <w:t>Ленинградской</w:t>
      </w:r>
      <w:proofErr w:type="gramEnd"/>
    </w:p>
    <w:p w:rsidR="00F42E64" w:rsidRDefault="00F42E64" w:rsidP="00F42E6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области муниципальными образованиями</w:t>
      </w:r>
    </w:p>
    <w:p w:rsidR="00F42E64" w:rsidRDefault="00F42E64" w:rsidP="00F42E6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Ленинградской области, </w:t>
      </w:r>
      <w:proofErr w:type="gramStart"/>
      <w:r>
        <w:rPr>
          <w:rFonts w:cs="Times New Roman"/>
          <w:szCs w:val="28"/>
        </w:rPr>
        <w:t>утвержденному</w:t>
      </w:r>
      <w:proofErr w:type="gramEnd"/>
    </w:p>
    <w:p w:rsidR="00F42E64" w:rsidRDefault="00F42E64" w:rsidP="00F42E6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 комитета финансов</w:t>
      </w:r>
    </w:p>
    <w:p w:rsidR="00F42E64" w:rsidRDefault="00F42E64" w:rsidP="00F42E6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CB4D04" w:rsidRDefault="00F47089" w:rsidP="00CB4D0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t xml:space="preserve">от 26 февраля 2018 года </w:t>
      </w:r>
      <w:r>
        <w:rPr>
          <w:rFonts w:cs="Times New Roman"/>
          <w:szCs w:val="28"/>
        </w:rPr>
        <w:t xml:space="preserve">№ </w:t>
      </w:r>
      <w:r w:rsidR="00F42E64">
        <w:rPr>
          <w:rFonts w:cs="Times New Roman"/>
          <w:szCs w:val="28"/>
        </w:rPr>
        <w:t>18-02/01-20-19</w:t>
      </w:r>
    </w:p>
    <w:p w:rsidR="00CB4D04" w:rsidRDefault="00F42E64" w:rsidP="00CB4D04">
      <w:pPr>
        <w:autoSpaceDE w:val="0"/>
        <w:autoSpaceDN w:val="0"/>
        <w:adjustRightInd w:val="0"/>
        <w:jc w:val="right"/>
      </w:pPr>
      <w:proofErr w:type="gramStart"/>
      <w:r>
        <w:t>(в редакции приказа комитета финансов</w:t>
      </w:r>
      <w:r w:rsidR="00CB4D04">
        <w:t xml:space="preserve"> </w:t>
      </w:r>
      <w:proofErr w:type="gramEnd"/>
    </w:p>
    <w:p w:rsidR="00F42E64" w:rsidRDefault="00CB4D04" w:rsidP="00CB4D04">
      <w:pPr>
        <w:autoSpaceDE w:val="0"/>
        <w:autoSpaceDN w:val="0"/>
        <w:adjustRightInd w:val="0"/>
        <w:jc w:val="right"/>
      </w:pPr>
      <w:r>
        <w:t xml:space="preserve">от </w:t>
      </w:r>
      <w:r w:rsidR="00F42E64">
        <w:t>_________________№ _____________)</w:t>
      </w:r>
    </w:p>
    <w:p w:rsidR="00CB4D04" w:rsidRDefault="00CB4D04" w:rsidP="000C5E43">
      <w:pPr>
        <w:pStyle w:val="ConsPlusNormal"/>
        <w:jc w:val="center"/>
      </w:pPr>
    </w:p>
    <w:p w:rsidR="000C5E43" w:rsidRDefault="000C5E43" w:rsidP="000C5E43">
      <w:pPr>
        <w:pStyle w:val="ConsPlusNormal"/>
        <w:jc w:val="center"/>
      </w:pPr>
      <w:r>
        <w:t>Информация об объеме средств, возвращенных муниципальными образованиями в областной бюджет Ленинградской области в связи</w:t>
      </w:r>
      <w:r w:rsidR="00CB4D04">
        <w:t xml:space="preserve"> </w:t>
      </w:r>
      <w:r>
        <w:t xml:space="preserve">с </w:t>
      </w:r>
      <w:proofErr w:type="spellStart"/>
      <w:r>
        <w:t>недостижением</w:t>
      </w:r>
      <w:proofErr w:type="spellEnd"/>
      <w:r>
        <w:t xml:space="preserve"> </w:t>
      </w:r>
      <w:r w:rsidRPr="00915131">
        <w:rPr>
          <w:szCs w:val="28"/>
        </w:rPr>
        <w:t>значений результатов использования субсидий</w:t>
      </w:r>
    </w:p>
    <w:p w:rsidR="000C5E43" w:rsidRDefault="000C5E43" w:rsidP="000C5E43">
      <w:pPr>
        <w:pStyle w:val="ConsPlusNormal"/>
        <w:jc w:val="center"/>
      </w:pPr>
      <w:r>
        <w:t>за 20__ год</w:t>
      </w:r>
    </w:p>
    <w:p w:rsidR="000C5E43" w:rsidRDefault="000C5E43" w:rsidP="000C5E43">
      <w:pPr>
        <w:pStyle w:val="ConsPlusNormal"/>
        <w:ind w:firstLine="540"/>
        <w:jc w:val="both"/>
      </w:pPr>
    </w:p>
    <w:p w:rsidR="000C5E43" w:rsidRDefault="000C5E43" w:rsidP="000C5E43">
      <w:pPr>
        <w:pStyle w:val="ConsPlusNormal"/>
        <w:ind w:firstLine="540"/>
        <w:jc w:val="both"/>
      </w:pPr>
      <w:r>
        <w:t>Главный распорядитель бюджетных средств ___________________</w:t>
      </w:r>
    </w:p>
    <w:p w:rsidR="000C5E43" w:rsidRDefault="000C5E43" w:rsidP="000C5E43">
      <w:pPr>
        <w:pStyle w:val="ConsPlusNormal"/>
        <w:ind w:firstLine="540"/>
        <w:jc w:val="both"/>
      </w:pPr>
    </w:p>
    <w:p w:rsidR="000C5E43" w:rsidRDefault="000C5E43" w:rsidP="000C5E43">
      <w:pPr>
        <w:pStyle w:val="ConsPlusNormal"/>
        <w:jc w:val="right"/>
      </w:pPr>
      <w:r>
        <w:t>(руб.) &lt;*&gt;</w:t>
      </w:r>
    </w:p>
    <w:p w:rsidR="000C5E43" w:rsidRDefault="000C5E43" w:rsidP="000C5E4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2784"/>
        <w:gridCol w:w="1928"/>
        <w:gridCol w:w="2246"/>
      </w:tblGrid>
      <w:tr w:rsidR="000C5E43" w:rsidRPr="00611BC5" w:rsidTr="00CB4D04">
        <w:tc>
          <w:tcPr>
            <w:tcW w:w="624" w:type="dxa"/>
          </w:tcPr>
          <w:p w:rsidR="000C5E43" w:rsidRPr="00611BC5" w:rsidRDefault="00CB4D04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№</w:t>
            </w:r>
            <w:r w:rsidR="000C5E43" w:rsidRPr="00611BC5">
              <w:rPr>
                <w:szCs w:val="28"/>
              </w:rPr>
              <w:t xml:space="preserve"> </w:t>
            </w:r>
            <w:proofErr w:type="gramStart"/>
            <w:r w:rsidR="000C5E43" w:rsidRPr="00611BC5">
              <w:rPr>
                <w:szCs w:val="28"/>
              </w:rPr>
              <w:t>п</w:t>
            </w:r>
            <w:proofErr w:type="gramEnd"/>
            <w:r w:rsidR="000C5E43" w:rsidRPr="00611BC5">
              <w:rPr>
                <w:szCs w:val="28"/>
              </w:rPr>
              <w:t>/п</w:t>
            </w: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Объем средств, подлежащий возврату в областной бюджет</w:t>
            </w: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Перечислено в областной бюджет</w:t>
            </w: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 xml:space="preserve">Сумма </w:t>
            </w:r>
            <w:proofErr w:type="spellStart"/>
            <w:r w:rsidRPr="00611BC5">
              <w:rPr>
                <w:szCs w:val="28"/>
              </w:rPr>
              <w:t>неперечисленных</w:t>
            </w:r>
            <w:proofErr w:type="spellEnd"/>
            <w:r w:rsidRPr="00611BC5">
              <w:rPr>
                <w:szCs w:val="28"/>
              </w:rPr>
              <w:t xml:space="preserve"> средств</w:t>
            </w: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1</w:t>
            </w: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2</w:t>
            </w: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3</w:t>
            </w: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4</w:t>
            </w: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5</w:t>
            </w: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1</w:t>
            </w:r>
          </w:p>
        </w:tc>
        <w:tc>
          <w:tcPr>
            <w:tcW w:w="9282" w:type="dxa"/>
            <w:gridSpan w:val="4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Субсидия 1 (Наименование, код целевой статьи расходов)</w:t>
            </w: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1.1</w:t>
            </w: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1.2</w:t>
            </w: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ИТОГО по СУБСИДИИ 1</w:t>
            </w: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2</w:t>
            </w:r>
          </w:p>
        </w:tc>
        <w:tc>
          <w:tcPr>
            <w:tcW w:w="9282" w:type="dxa"/>
            <w:gridSpan w:val="4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Субсидия 2 (Наименование, код целевой статьи расходов)</w:t>
            </w: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2.1</w:t>
            </w: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2.2</w:t>
            </w: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ИТОГО ПО СУБСИДИИ 2</w:t>
            </w: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3</w:t>
            </w:r>
          </w:p>
        </w:tc>
        <w:tc>
          <w:tcPr>
            <w:tcW w:w="9282" w:type="dxa"/>
            <w:gridSpan w:val="4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Субсидия 3 (Наименование, код целевой статьи расходов)</w:t>
            </w: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3.1</w:t>
            </w: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lastRenderedPageBreak/>
              <w:t>3.2</w:t>
            </w: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5E43" w:rsidRPr="00611BC5" w:rsidTr="00CB4D04">
        <w:tc>
          <w:tcPr>
            <w:tcW w:w="6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32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  <w:r w:rsidRPr="00611BC5">
              <w:rPr>
                <w:szCs w:val="28"/>
              </w:rPr>
              <w:t>ИТОГО по СУБСИДИИ 3</w:t>
            </w:r>
          </w:p>
        </w:tc>
        <w:tc>
          <w:tcPr>
            <w:tcW w:w="2784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8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0C5E43" w:rsidRPr="00611BC5" w:rsidRDefault="000C5E43" w:rsidP="00487A88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0C5E43" w:rsidRDefault="000C5E43" w:rsidP="000C5E43">
      <w:pPr>
        <w:pStyle w:val="ConsPlusNormal"/>
        <w:ind w:firstLine="540"/>
        <w:jc w:val="both"/>
      </w:pPr>
    </w:p>
    <w:p w:rsidR="000C5E43" w:rsidRPr="00CB4D04" w:rsidRDefault="000C5E43" w:rsidP="000C5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D04">
        <w:rPr>
          <w:rFonts w:ascii="Times New Roman" w:hAnsi="Times New Roman" w:cs="Times New Roman"/>
          <w:sz w:val="28"/>
          <w:szCs w:val="28"/>
        </w:rPr>
        <w:t>Руководитель                          (подпись)      (расшифровка подписи)</w:t>
      </w:r>
    </w:p>
    <w:p w:rsidR="000C5E43" w:rsidRPr="00CB4D04" w:rsidRDefault="000C5E43" w:rsidP="000C5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E43" w:rsidRPr="00CB4D04" w:rsidRDefault="000C5E43" w:rsidP="000C5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D0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C5E43" w:rsidRPr="00CB4D04" w:rsidRDefault="000C5E43" w:rsidP="000C5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D04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</w:p>
    <w:p w:rsidR="000C5E43" w:rsidRPr="00CB4D04" w:rsidRDefault="000C5E43" w:rsidP="000C5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D04">
        <w:rPr>
          <w:rFonts w:ascii="Times New Roman" w:hAnsi="Times New Roman" w:cs="Times New Roman"/>
          <w:sz w:val="28"/>
          <w:szCs w:val="28"/>
        </w:rPr>
        <w:t>службы (для ГРБС)                     (подпись)      (расшифровка подписи)</w:t>
      </w:r>
    </w:p>
    <w:p w:rsidR="000C5E43" w:rsidRPr="00CB4D04" w:rsidRDefault="000C5E43" w:rsidP="000C5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E43" w:rsidRPr="00CB4D04" w:rsidRDefault="000C5E43" w:rsidP="000C5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D04">
        <w:rPr>
          <w:rFonts w:ascii="Times New Roman" w:hAnsi="Times New Roman" w:cs="Times New Roman"/>
          <w:sz w:val="28"/>
          <w:szCs w:val="28"/>
        </w:rPr>
        <w:t>Исполнитель                           (подпись)      (расшифровка подписи)</w:t>
      </w:r>
    </w:p>
    <w:p w:rsidR="000C5E43" w:rsidRPr="00CB4D04" w:rsidRDefault="000C5E43" w:rsidP="000C5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D0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C5E43" w:rsidRDefault="000C5E43" w:rsidP="000C5E43"/>
    <w:sectPr w:rsidR="000C5E43" w:rsidSect="00F42E6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2A4"/>
    <w:multiLevelType w:val="multilevel"/>
    <w:tmpl w:val="A0FC94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theme="minorBidi" w:hint="default"/>
      </w:rPr>
    </w:lvl>
  </w:abstractNum>
  <w:abstractNum w:abstractNumId="1">
    <w:nsid w:val="250C7C61"/>
    <w:multiLevelType w:val="hybridMultilevel"/>
    <w:tmpl w:val="B45A515C"/>
    <w:lvl w:ilvl="0" w:tplc="4CACC1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D21B9"/>
    <w:multiLevelType w:val="hybridMultilevel"/>
    <w:tmpl w:val="149AC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51FC"/>
    <w:multiLevelType w:val="multilevel"/>
    <w:tmpl w:val="76285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6BE46B0E"/>
    <w:multiLevelType w:val="multilevel"/>
    <w:tmpl w:val="8F88D668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6D762518"/>
    <w:multiLevelType w:val="hybridMultilevel"/>
    <w:tmpl w:val="9E3E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84FA6"/>
    <w:multiLevelType w:val="hybridMultilevel"/>
    <w:tmpl w:val="031E16B0"/>
    <w:lvl w:ilvl="0" w:tplc="4CACC15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EE74A50"/>
    <w:multiLevelType w:val="hybridMultilevel"/>
    <w:tmpl w:val="C70CC984"/>
    <w:lvl w:ilvl="0" w:tplc="4CACC15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F4"/>
    <w:rsid w:val="00000D26"/>
    <w:rsid w:val="00015BC0"/>
    <w:rsid w:val="0001675F"/>
    <w:rsid w:val="00037520"/>
    <w:rsid w:val="000415CE"/>
    <w:rsid w:val="00046326"/>
    <w:rsid w:val="00047CCB"/>
    <w:rsid w:val="000642AC"/>
    <w:rsid w:val="0007469B"/>
    <w:rsid w:val="000C5B29"/>
    <w:rsid w:val="000C5E43"/>
    <w:rsid w:val="000C70D1"/>
    <w:rsid w:val="000D3268"/>
    <w:rsid w:val="000E3B3A"/>
    <w:rsid w:val="000F09AD"/>
    <w:rsid w:val="001110F9"/>
    <w:rsid w:val="00121129"/>
    <w:rsid w:val="00122758"/>
    <w:rsid w:val="00142E33"/>
    <w:rsid w:val="001438D7"/>
    <w:rsid w:val="0014590F"/>
    <w:rsid w:val="0016366C"/>
    <w:rsid w:val="0018610F"/>
    <w:rsid w:val="00191F4F"/>
    <w:rsid w:val="001E0A69"/>
    <w:rsid w:val="001E300B"/>
    <w:rsid w:val="002225DC"/>
    <w:rsid w:val="002230C3"/>
    <w:rsid w:val="00232A99"/>
    <w:rsid w:val="002551D5"/>
    <w:rsid w:val="0026551F"/>
    <w:rsid w:val="00282FB1"/>
    <w:rsid w:val="002876B1"/>
    <w:rsid w:val="002A607E"/>
    <w:rsid w:val="002B2E3A"/>
    <w:rsid w:val="002B3E13"/>
    <w:rsid w:val="002E0419"/>
    <w:rsid w:val="002F7E89"/>
    <w:rsid w:val="00321D3F"/>
    <w:rsid w:val="00331929"/>
    <w:rsid w:val="0035161A"/>
    <w:rsid w:val="00363EC5"/>
    <w:rsid w:val="003A5259"/>
    <w:rsid w:val="003C29A9"/>
    <w:rsid w:val="003E3C05"/>
    <w:rsid w:val="003F15D9"/>
    <w:rsid w:val="00424715"/>
    <w:rsid w:val="0043559C"/>
    <w:rsid w:val="00462798"/>
    <w:rsid w:val="00463439"/>
    <w:rsid w:val="00482AFB"/>
    <w:rsid w:val="00482F15"/>
    <w:rsid w:val="004877D0"/>
    <w:rsid w:val="004B0595"/>
    <w:rsid w:val="004C1313"/>
    <w:rsid w:val="004C2BE1"/>
    <w:rsid w:val="004C4590"/>
    <w:rsid w:val="00506055"/>
    <w:rsid w:val="00513DF3"/>
    <w:rsid w:val="00530859"/>
    <w:rsid w:val="00531634"/>
    <w:rsid w:val="00534791"/>
    <w:rsid w:val="005439E6"/>
    <w:rsid w:val="00545BD8"/>
    <w:rsid w:val="00546C70"/>
    <w:rsid w:val="005536F7"/>
    <w:rsid w:val="005630CE"/>
    <w:rsid w:val="00585E6A"/>
    <w:rsid w:val="0059520B"/>
    <w:rsid w:val="005C3F18"/>
    <w:rsid w:val="005E087A"/>
    <w:rsid w:val="005E5EFC"/>
    <w:rsid w:val="005F3C71"/>
    <w:rsid w:val="00611BC5"/>
    <w:rsid w:val="00615827"/>
    <w:rsid w:val="00636FCA"/>
    <w:rsid w:val="0064184F"/>
    <w:rsid w:val="006458B8"/>
    <w:rsid w:val="00654831"/>
    <w:rsid w:val="00665290"/>
    <w:rsid w:val="0066795B"/>
    <w:rsid w:val="006764A8"/>
    <w:rsid w:val="00676C49"/>
    <w:rsid w:val="006776E8"/>
    <w:rsid w:val="006E020F"/>
    <w:rsid w:val="007010A0"/>
    <w:rsid w:val="00715154"/>
    <w:rsid w:val="00726C30"/>
    <w:rsid w:val="00730174"/>
    <w:rsid w:val="00751497"/>
    <w:rsid w:val="00753642"/>
    <w:rsid w:val="007701CE"/>
    <w:rsid w:val="00777CC5"/>
    <w:rsid w:val="007837E7"/>
    <w:rsid w:val="007D0F1E"/>
    <w:rsid w:val="0080591D"/>
    <w:rsid w:val="00822FD9"/>
    <w:rsid w:val="008275FA"/>
    <w:rsid w:val="008371C4"/>
    <w:rsid w:val="0085481D"/>
    <w:rsid w:val="00860595"/>
    <w:rsid w:val="00882A50"/>
    <w:rsid w:val="00883DC3"/>
    <w:rsid w:val="00890D1E"/>
    <w:rsid w:val="00891796"/>
    <w:rsid w:val="008A2523"/>
    <w:rsid w:val="008B383A"/>
    <w:rsid w:val="008B6454"/>
    <w:rsid w:val="008C2F14"/>
    <w:rsid w:val="008C5D25"/>
    <w:rsid w:val="008D2016"/>
    <w:rsid w:val="00903904"/>
    <w:rsid w:val="00915131"/>
    <w:rsid w:val="009216A9"/>
    <w:rsid w:val="00931E0B"/>
    <w:rsid w:val="00940B15"/>
    <w:rsid w:val="00952E4A"/>
    <w:rsid w:val="00961F8F"/>
    <w:rsid w:val="0096418F"/>
    <w:rsid w:val="00967AA1"/>
    <w:rsid w:val="009773FF"/>
    <w:rsid w:val="00982E83"/>
    <w:rsid w:val="0098389C"/>
    <w:rsid w:val="00990343"/>
    <w:rsid w:val="0099649A"/>
    <w:rsid w:val="009A6EB0"/>
    <w:rsid w:val="009B0C8F"/>
    <w:rsid w:val="009B75F0"/>
    <w:rsid w:val="009C01F2"/>
    <w:rsid w:val="009D6E25"/>
    <w:rsid w:val="009E0AEA"/>
    <w:rsid w:val="009E0B5A"/>
    <w:rsid w:val="009E72EB"/>
    <w:rsid w:val="00A453B5"/>
    <w:rsid w:val="00A53EE2"/>
    <w:rsid w:val="00A555A9"/>
    <w:rsid w:val="00A66965"/>
    <w:rsid w:val="00AA038D"/>
    <w:rsid w:val="00AA7A57"/>
    <w:rsid w:val="00AC4476"/>
    <w:rsid w:val="00AC7EED"/>
    <w:rsid w:val="00AD08B4"/>
    <w:rsid w:val="00AE28AA"/>
    <w:rsid w:val="00B04FCD"/>
    <w:rsid w:val="00B22896"/>
    <w:rsid w:val="00B25F44"/>
    <w:rsid w:val="00B32394"/>
    <w:rsid w:val="00B45AA4"/>
    <w:rsid w:val="00B57DB0"/>
    <w:rsid w:val="00B643F2"/>
    <w:rsid w:val="00B678C9"/>
    <w:rsid w:val="00B830AC"/>
    <w:rsid w:val="00B94FF7"/>
    <w:rsid w:val="00BC3AC8"/>
    <w:rsid w:val="00BD3027"/>
    <w:rsid w:val="00C01C76"/>
    <w:rsid w:val="00C05EE6"/>
    <w:rsid w:val="00C1313D"/>
    <w:rsid w:val="00C17359"/>
    <w:rsid w:val="00C21B28"/>
    <w:rsid w:val="00C322F4"/>
    <w:rsid w:val="00C35217"/>
    <w:rsid w:val="00C3566D"/>
    <w:rsid w:val="00C41002"/>
    <w:rsid w:val="00C626A8"/>
    <w:rsid w:val="00C7359E"/>
    <w:rsid w:val="00C929EC"/>
    <w:rsid w:val="00CA4DC9"/>
    <w:rsid w:val="00CA6C8A"/>
    <w:rsid w:val="00CB4D04"/>
    <w:rsid w:val="00CD2F2A"/>
    <w:rsid w:val="00D064FF"/>
    <w:rsid w:val="00D23188"/>
    <w:rsid w:val="00D241C1"/>
    <w:rsid w:val="00D31AF1"/>
    <w:rsid w:val="00D6469E"/>
    <w:rsid w:val="00D71517"/>
    <w:rsid w:val="00D816D1"/>
    <w:rsid w:val="00D8204D"/>
    <w:rsid w:val="00DB1F3D"/>
    <w:rsid w:val="00DC14D2"/>
    <w:rsid w:val="00DE5A84"/>
    <w:rsid w:val="00E10DE6"/>
    <w:rsid w:val="00E1347E"/>
    <w:rsid w:val="00E2668C"/>
    <w:rsid w:val="00E7562D"/>
    <w:rsid w:val="00E935C2"/>
    <w:rsid w:val="00EF02A7"/>
    <w:rsid w:val="00F12226"/>
    <w:rsid w:val="00F205A3"/>
    <w:rsid w:val="00F317AE"/>
    <w:rsid w:val="00F37103"/>
    <w:rsid w:val="00F42E64"/>
    <w:rsid w:val="00F47089"/>
    <w:rsid w:val="00F565C7"/>
    <w:rsid w:val="00F57067"/>
    <w:rsid w:val="00F57661"/>
    <w:rsid w:val="00F57A9D"/>
    <w:rsid w:val="00F67AE4"/>
    <w:rsid w:val="00F67F1E"/>
    <w:rsid w:val="00F7455F"/>
    <w:rsid w:val="00F746DF"/>
    <w:rsid w:val="00F91938"/>
    <w:rsid w:val="00FA3C8D"/>
    <w:rsid w:val="00FB3282"/>
    <w:rsid w:val="00FC25D5"/>
    <w:rsid w:val="00FD6210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32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32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2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0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32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32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2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0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BD2D-D18D-45AD-8D98-3916F68B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Балабанова Екатерина Евгеньевна</cp:lastModifiedBy>
  <cp:revision>32</cp:revision>
  <cp:lastPrinted>2020-02-20T11:54:00Z</cp:lastPrinted>
  <dcterms:created xsi:type="dcterms:W3CDTF">2020-01-22T09:24:00Z</dcterms:created>
  <dcterms:modified xsi:type="dcterms:W3CDTF">2020-02-21T06:41:00Z</dcterms:modified>
</cp:coreProperties>
</file>