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EA" w:rsidRPr="00CD3FF2" w:rsidRDefault="00CD3FF2" w:rsidP="00CD3F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D3FF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КОМИТЕТ ПО АГРОПРОМЫШЛЕННОМУ И РЫБОХОЗЯЙСТВЕННОМУ КОМПЛЕКСУ</w:t>
      </w: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B0524" w:rsidRPr="00B16C41" w:rsidRDefault="00CB0524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7367" w:rsidRPr="00B16C41">
        <w:rPr>
          <w:rFonts w:ascii="Times New Roman" w:hAnsi="Times New Roman" w:cs="Times New Roman"/>
          <w:b/>
          <w:bCs/>
          <w:sz w:val="28"/>
          <w:szCs w:val="28"/>
        </w:rPr>
        <w:t>__________2020</w:t>
      </w:r>
      <w:r w:rsidR="0099486F"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F775A" w:rsidRPr="00B16C41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F8F" w:rsidRPr="00B16C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367" w:rsidRPr="00B16C41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311C9B" w:rsidRPr="00B16C41" w:rsidRDefault="00311C9B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5A" w:rsidRPr="00B16C41" w:rsidRDefault="005F775A" w:rsidP="005F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1E" w:rsidRDefault="00D14573" w:rsidP="005F775A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="00B0751E" w:rsidRPr="00B0751E">
        <w:rPr>
          <w:rFonts w:ascii="Times New Roman" w:hAnsi="Times New Roman" w:cs="Times New Roman"/>
        </w:rPr>
        <w:t xml:space="preserve">о порядке установления стимулирующих выплат </w:t>
      </w:r>
      <w:r w:rsidR="00B0751E">
        <w:rPr>
          <w:rFonts w:ascii="Times New Roman" w:hAnsi="Times New Roman" w:cs="Times New Roman"/>
        </w:rPr>
        <w:t>директору государственного казенного учреждения Ленинградской области «</w:t>
      </w:r>
      <w:r w:rsidR="00051FC6">
        <w:rPr>
          <w:rFonts w:ascii="Times New Roman" w:hAnsi="Times New Roman" w:cs="Times New Roman"/>
        </w:rPr>
        <w:t xml:space="preserve">Агентство по обеспечению деятельности агропромышленного и </w:t>
      </w:r>
      <w:proofErr w:type="spellStart"/>
      <w:r w:rsidR="00051FC6">
        <w:rPr>
          <w:rFonts w:ascii="Times New Roman" w:hAnsi="Times New Roman" w:cs="Times New Roman"/>
        </w:rPr>
        <w:t>рыбохозяйственного</w:t>
      </w:r>
      <w:proofErr w:type="spellEnd"/>
      <w:r w:rsidR="00051FC6">
        <w:rPr>
          <w:rFonts w:ascii="Times New Roman" w:hAnsi="Times New Roman" w:cs="Times New Roman"/>
        </w:rPr>
        <w:t xml:space="preserve"> комплекса Ленинградской области</w:t>
      </w:r>
      <w:r w:rsidR="00B0751E">
        <w:rPr>
          <w:rFonts w:ascii="Times New Roman" w:hAnsi="Times New Roman" w:cs="Times New Roman"/>
        </w:rPr>
        <w:t>»</w:t>
      </w:r>
      <w:r w:rsidR="00AD1C31">
        <w:rPr>
          <w:rFonts w:ascii="Times New Roman" w:hAnsi="Times New Roman" w:cs="Times New Roman"/>
        </w:rPr>
        <w:t xml:space="preserve">, критериев и показателей эффективности и результативности деятельности 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="00AD1C31">
        <w:rPr>
          <w:rFonts w:ascii="Times New Roman" w:hAnsi="Times New Roman" w:cs="Times New Roman"/>
        </w:rPr>
        <w:t>рыбохозяйственного</w:t>
      </w:r>
      <w:proofErr w:type="spellEnd"/>
      <w:r w:rsidR="00AD1C31">
        <w:rPr>
          <w:rFonts w:ascii="Times New Roman" w:hAnsi="Times New Roman" w:cs="Times New Roman"/>
        </w:rPr>
        <w:t xml:space="preserve"> комплекса Ленинградской области» и его директора</w:t>
      </w:r>
      <w:r w:rsidR="006347BB">
        <w:rPr>
          <w:rFonts w:ascii="Times New Roman" w:hAnsi="Times New Roman" w:cs="Times New Roman"/>
        </w:rPr>
        <w:t>, а также признании утратившим силу нормативного правового акта комитета по агропромышленному</w:t>
      </w:r>
      <w:proofErr w:type="gramEnd"/>
      <w:r w:rsidR="006347BB">
        <w:rPr>
          <w:rFonts w:ascii="Times New Roman" w:hAnsi="Times New Roman" w:cs="Times New Roman"/>
        </w:rPr>
        <w:t xml:space="preserve"> и рыбохозяйственному комплексу Ленинградской области</w:t>
      </w:r>
    </w:p>
    <w:p w:rsidR="00B0751E" w:rsidRDefault="00B0751E" w:rsidP="005F775A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1E" w:rsidRDefault="00B0751E" w:rsidP="005F775A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051FC6" w:rsidRPr="00B16C41" w:rsidRDefault="00051FC6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FDA" w:rsidRPr="00051FC6" w:rsidRDefault="00051FC6" w:rsidP="00D34E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51FC6">
        <w:rPr>
          <w:sz w:val="28"/>
          <w:szCs w:val="28"/>
        </w:rPr>
        <w:t xml:space="preserve">В </w:t>
      </w:r>
      <w:r w:rsidR="00E2636A">
        <w:rPr>
          <w:sz w:val="28"/>
          <w:szCs w:val="28"/>
        </w:rPr>
        <w:t>соответствии с Трудовым кодексом Российской Федерации</w:t>
      </w:r>
      <w:r w:rsidR="009A3664">
        <w:rPr>
          <w:sz w:val="28"/>
          <w:szCs w:val="28"/>
        </w:rPr>
        <w:t>, о</w:t>
      </w:r>
      <w:r w:rsidR="009A3664" w:rsidRPr="009A3664">
        <w:rPr>
          <w:sz w:val="28"/>
          <w:szCs w:val="28"/>
        </w:rPr>
        <w:t>бластн</w:t>
      </w:r>
      <w:r w:rsidR="009A3664">
        <w:rPr>
          <w:sz w:val="28"/>
          <w:szCs w:val="28"/>
        </w:rPr>
        <w:t>ым</w:t>
      </w:r>
      <w:r w:rsidR="009A3664" w:rsidRPr="009A3664">
        <w:rPr>
          <w:sz w:val="28"/>
          <w:szCs w:val="28"/>
        </w:rPr>
        <w:t xml:space="preserve"> закон</w:t>
      </w:r>
      <w:r w:rsidR="009A3664">
        <w:rPr>
          <w:sz w:val="28"/>
          <w:szCs w:val="28"/>
        </w:rPr>
        <w:t>ом</w:t>
      </w:r>
      <w:r w:rsidR="009A3664" w:rsidRPr="009A3664">
        <w:rPr>
          <w:sz w:val="28"/>
          <w:szCs w:val="28"/>
        </w:rPr>
        <w:t xml:space="preserve"> Ленинградской области от 20</w:t>
      </w:r>
      <w:r w:rsidR="00AE5F65">
        <w:rPr>
          <w:sz w:val="28"/>
          <w:szCs w:val="28"/>
        </w:rPr>
        <w:t xml:space="preserve"> декабря </w:t>
      </w:r>
      <w:r w:rsidR="009A3664" w:rsidRPr="009A3664">
        <w:rPr>
          <w:sz w:val="28"/>
          <w:szCs w:val="28"/>
        </w:rPr>
        <w:t>2019</w:t>
      </w:r>
      <w:r w:rsidR="00AE5F65">
        <w:rPr>
          <w:sz w:val="28"/>
          <w:szCs w:val="28"/>
        </w:rPr>
        <w:t xml:space="preserve"> года </w:t>
      </w:r>
      <w:r w:rsidR="009A3664">
        <w:rPr>
          <w:sz w:val="28"/>
          <w:szCs w:val="28"/>
        </w:rPr>
        <w:t>№ 103-оз «</w:t>
      </w:r>
      <w:r w:rsidR="009A3664" w:rsidRPr="009A3664">
        <w:rPr>
          <w:sz w:val="28"/>
          <w:szCs w:val="28"/>
        </w:rPr>
        <w:t>Об оплате труда работников государственных учреждений Ленинградской области</w:t>
      </w:r>
      <w:r w:rsidR="009A3664">
        <w:rPr>
          <w:sz w:val="28"/>
          <w:szCs w:val="28"/>
        </w:rPr>
        <w:t>»</w:t>
      </w:r>
      <w:r w:rsidR="00BF5B84">
        <w:rPr>
          <w:sz w:val="28"/>
          <w:szCs w:val="28"/>
        </w:rPr>
        <w:t>,</w:t>
      </w:r>
      <w:r w:rsidR="009A3664" w:rsidRPr="009A3664">
        <w:rPr>
          <w:sz w:val="28"/>
          <w:szCs w:val="28"/>
        </w:rPr>
        <w:t xml:space="preserve"> </w:t>
      </w:r>
      <w:r w:rsidRPr="00051FC6">
        <w:rPr>
          <w:sz w:val="28"/>
          <w:szCs w:val="28"/>
        </w:rPr>
        <w:t>постановлени</w:t>
      </w:r>
      <w:r w:rsidR="00BF5B84">
        <w:rPr>
          <w:sz w:val="28"/>
          <w:szCs w:val="28"/>
        </w:rPr>
        <w:t>ем</w:t>
      </w:r>
      <w:r w:rsidRPr="00051FC6">
        <w:rPr>
          <w:sz w:val="28"/>
          <w:szCs w:val="28"/>
        </w:rPr>
        <w:t xml:space="preserve">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</w:t>
      </w:r>
      <w:proofErr w:type="gramEnd"/>
      <w:r w:rsidRPr="00051FC6">
        <w:rPr>
          <w:sz w:val="28"/>
          <w:szCs w:val="28"/>
        </w:rPr>
        <w:t xml:space="preserve"> Правительства Ленинградской области»</w:t>
      </w:r>
      <w:r w:rsidR="00805FDA" w:rsidRPr="00051FC6">
        <w:rPr>
          <w:sz w:val="28"/>
          <w:szCs w:val="28"/>
        </w:rPr>
        <w:t>, приказываю:</w:t>
      </w:r>
    </w:p>
    <w:p w:rsidR="003A0BAB" w:rsidRDefault="003A0BAB" w:rsidP="00D3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2D" w:rsidRPr="000F122D" w:rsidRDefault="00805FDA" w:rsidP="00D34ECF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2D">
        <w:rPr>
          <w:rFonts w:ascii="Times New Roman" w:hAnsi="Times New Roman" w:cs="Times New Roman"/>
          <w:sz w:val="28"/>
          <w:szCs w:val="28"/>
        </w:rPr>
        <w:t>Утвердить</w:t>
      </w:r>
      <w:r w:rsidR="00DA5A97" w:rsidRPr="000F122D">
        <w:rPr>
          <w:rFonts w:ascii="Times New Roman" w:hAnsi="Times New Roman" w:cs="Times New Roman"/>
          <w:sz w:val="28"/>
          <w:szCs w:val="28"/>
        </w:rPr>
        <w:t>:</w:t>
      </w:r>
    </w:p>
    <w:p w:rsidR="00DA5A97" w:rsidRDefault="00293A80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77" w:history="1">
        <w:r w:rsidR="00DA5A97" w:rsidRPr="00B16C41">
          <w:rPr>
            <w:rFonts w:ascii="Times New Roman" w:hAnsi="Times New Roman" w:cs="Times New Roman"/>
            <w:sz w:val="28"/>
            <w:szCs w:val="28"/>
          </w:rPr>
          <w:t>П</w:t>
        </w:r>
        <w:r w:rsidR="00805FDA" w:rsidRPr="00B16C41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3A0BAB">
        <w:rPr>
          <w:rFonts w:ascii="Times New Roman" w:hAnsi="Times New Roman" w:cs="Times New Roman"/>
          <w:sz w:val="28"/>
          <w:szCs w:val="28"/>
        </w:rPr>
        <w:t xml:space="preserve"> </w:t>
      </w:r>
      <w:r w:rsidR="00805FDA" w:rsidRPr="003A0BAB">
        <w:rPr>
          <w:rFonts w:ascii="Times New Roman" w:hAnsi="Times New Roman" w:cs="Times New Roman"/>
          <w:sz w:val="28"/>
          <w:szCs w:val="28"/>
        </w:rPr>
        <w:t>о</w:t>
      </w:r>
      <w:r w:rsidR="003A0BAB" w:rsidRPr="003A0BAB">
        <w:rPr>
          <w:rFonts w:ascii="Times New Roman" w:hAnsi="Times New Roman" w:cs="Times New Roman"/>
          <w:sz w:val="28"/>
          <w:szCs w:val="28"/>
        </w:rPr>
        <w:t xml:space="preserve"> порядке установления стимулирующих выплат 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="003A0BAB" w:rsidRPr="003A0BA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3A0BAB" w:rsidRPr="003A0BAB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</w:t>
      </w:r>
      <w:r w:rsidR="00805FDA" w:rsidRPr="00B16C4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A0BAB">
        <w:rPr>
          <w:rFonts w:ascii="Times New Roman" w:hAnsi="Times New Roman" w:cs="Times New Roman"/>
          <w:sz w:val="28"/>
          <w:szCs w:val="28"/>
        </w:rPr>
        <w:t>1</w:t>
      </w:r>
      <w:r w:rsidR="00805FDA" w:rsidRPr="00B16C4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273F8">
        <w:rPr>
          <w:rFonts w:ascii="Times New Roman" w:hAnsi="Times New Roman" w:cs="Times New Roman"/>
          <w:sz w:val="28"/>
          <w:szCs w:val="28"/>
        </w:rPr>
        <w:t>;</w:t>
      </w:r>
    </w:p>
    <w:p w:rsidR="009273F8" w:rsidRDefault="009273F8" w:rsidP="00D34ECF">
      <w:pPr>
        <w:pStyle w:val="3"/>
        <w:shd w:val="clear" w:color="auto" w:fill="auto"/>
        <w:tabs>
          <w:tab w:val="left" w:pos="162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</w:t>
      </w:r>
      <w:r w:rsidRPr="009273F8">
        <w:rPr>
          <w:sz w:val="28"/>
          <w:szCs w:val="28"/>
        </w:rPr>
        <w:t xml:space="preserve">эффективности и результативности деятельности </w:t>
      </w:r>
      <w:r w:rsidRPr="003A0BAB">
        <w:rPr>
          <w:sz w:val="28"/>
          <w:szCs w:val="28"/>
        </w:rPr>
        <w:t xml:space="preserve">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3A0BAB">
        <w:rPr>
          <w:sz w:val="28"/>
          <w:szCs w:val="28"/>
        </w:rPr>
        <w:t>рыбохозяйственного</w:t>
      </w:r>
      <w:proofErr w:type="spellEnd"/>
      <w:r w:rsidRPr="003A0BAB">
        <w:rPr>
          <w:sz w:val="28"/>
          <w:szCs w:val="28"/>
        </w:rPr>
        <w:t xml:space="preserve"> комплекса </w:t>
      </w:r>
      <w:r w:rsidRPr="003A0BAB">
        <w:rPr>
          <w:sz w:val="28"/>
          <w:szCs w:val="28"/>
        </w:rPr>
        <w:lastRenderedPageBreak/>
        <w:t>Ленинградской области»</w:t>
      </w:r>
      <w:r w:rsidRPr="00B16C41">
        <w:rPr>
          <w:sz w:val="28"/>
          <w:szCs w:val="28"/>
        </w:rPr>
        <w:t xml:space="preserve"> </w:t>
      </w:r>
      <w:r w:rsidRPr="009273F8">
        <w:rPr>
          <w:sz w:val="28"/>
          <w:szCs w:val="28"/>
        </w:rPr>
        <w:t xml:space="preserve">и </w:t>
      </w:r>
      <w:r>
        <w:rPr>
          <w:sz w:val="28"/>
          <w:szCs w:val="28"/>
        </w:rPr>
        <w:t>его</w:t>
      </w:r>
      <w:r w:rsidRPr="009273F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согласно приложению 2</w:t>
      </w:r>
      <w:r w:rsidRPr="00B16C41">
        <w:rPr>
          <w:sz w:val="28"/>
          <w:szCs w:val="28"/>
        </w:rPr>
        <w:t xml:space="preserve"> к настоящему приказу</w:t>
      </w:r>
      <w:r w:rsidR="008C7C49">
        <w:rPr>
          <w:sz w:val="28"/>
          <w:szCs w:val="28"/>
        </w:rPr>
        <w:t>.</w:t>
      </w:r>
    </w:p>
    <w:p w:rsidR="00E2620D" w:rsidRDefault="00E2620D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20D" w:rsidRPr="009273F8" w:rsidRDefault="00E2620D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по агропромышленному и рыбохозяйственному комплексу Ленинградской области от 24.01.2017 № 4 «Об утверждении Положения о порядке установления стимулирующих выплат руководителю  государственного казенного учреждения Ленинградской области «</w:t>
      </w:r>
      <w:r w:rsidRPr="003A0BAB">
        <w:rPr>
          <w:rFonts w:ascii="Times New Roman" w:hAnsi="Times New Roman" w:cs="Times New Roman"/>
          <w:sz w:val="28"/>
          <w:szCs w:val="28"/>
        </w:rPr>
        <w:t xml:space="preserve">Агентство по обеспечению деятельности агропромышленного и </w:t>
      </w:r>
      <w:proofErr w:type="spellStart"/>
      <w:r w:rsidRPr="003A0BA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A0BAB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а также критериев и целевых показателей эффективности и результативности деятельности государственного </w:t>
      </w:r>
      <w:r w:rsidR="00CF4C9B">
        <w:rPr>
          <w:rFonts w:ascii="Times New Roman" w:hAnsi="Times New Roman" w:cs="Times New Roman"/>
          <w:sz w:val="28"/>
          <w:szCs w:val="28"/>
        </w:rPr>
        <w:t>казенного учреждения Ленинградской области «</w:t>
      </w:r>
      <w:r w:rsidR="00CF4C9B" w:rsidRPr="003A0BAB">
        <w:rPr>
          <w:rFonts w:ascii="Times New Roman" w:hAnsi="Times New Roman" w:cs="Times New Roman"/>
          <w:sz w:val="28"/>
          <w:szCs w:val="28"/>
        </w:rPr>
        <w:t>Агентство по обеспечению деятельности агропромышленного и</w:t>
      </w:r>
      <w:proofErr w:type="gramEnd"/>
      <w:r w:rsidR="00CF4C9B" w:rsidRPr="003A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C9B" w:rsidRPr="003A0BA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CF4C9B" w:rsidRPr="003A0BAB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</w:t>
      </w:r>
      <w:r w:rsidR="00CF4C9B">
        <w:rPr>
          <w:rFonts w:ascii="Times New Roman" w:hAnsi="Times New Roman" w:cs="Times New Roman"/>
          <w:sz w:val="28"/>
          <w:szCs w:val="28"/>
        </w:rPr>
        <w:t>» и его руководителя</w:t>
      </w:r>
      <w:r w:rsidR="00AE5F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3F8" w:rsidRPr="00B16C41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FDA" w:rsidRDefault="00E2620D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FDA" w:rsidRPr="00B16C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FDA" w:rsidRPr="00B16C41">
        <w:rPr>
          <w:rFonts w:ascii="Times New Roman" w:hAnsi="Times New Roman" w:cs="Times New Roman"/>
          <w:sz w:val="28"/>
          <w:szCs w:val="28"/>
        </w:rPr>
        <w:t>Контроль</w:t>
      </w:r>
      <w:r w:rsidR="00914260" w:rsidRPr="00B16C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05FDA" w:rsidRPr="00B16C4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14260" w:rsidRPr="00B16C41">
        <w:rPr>
          <w:rFonts w:ascii="Times New Roman" w:hAnsi="Times New Roman" w:cs="Times New Roman"/>
          <w:sz w:val="28"/>
          <w:szCs w:val="28"/>
        </w:rPr>
        <w:t>ем</w:t>
      </w:r>
      <w:r w:rsidR="00805FDA" w:rsidRPr="00B16C4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323B0" w:rsidRPr="00B16C4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05FDA" w:rsidRPr="00B16C41">
        <w:rPr>
          <w:rFonts w:ascii="Times New Roman" w:hAnsi="Times New Roman" w:cs="Times New Roman"/>
          <w:sz w:val="28"/>
          <w:szCs w:val="28"/>
        </w:rPr>
        <w:t>.</w:t>
      </w:r>
    </w:p>
    <w:p w:rsidR="009273F8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F8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F8" w:rsidRPr="00B16C41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67" w:rsidRPr="00B16C41" w:rsidRDefault="00E27867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98" w:rsidRDefault="0099486F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16C41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  <w:r w:rsidR="00914260" w:rsidRPr="00B1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98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16C4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14260" w:rsidRPr="00B16C41">
        <w:rPr>
          <w:rFonts w:ascii="Times New Roman" w:hAnsi="Times New Roman" w:cs="Times New Roman"/>
          <w:sz w:val="28"/>
          <w:szCs w:val="28"/>
        </w:rPr>
        <w:t>–</w:t>
      </w:r>
      <w:r w:rsidRPr="00B16C41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E27867" w:rsidRPr="00B16C41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16C41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B16C41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B16C41">
        <w:rPr>
          <w:rFonts w:ascii="Times New Roman" w:hAnsi="Times New Roman" w:cs="Times New Roman"/>
          <w:sz w:val="28"/>
          <w:szCs w:val="28"/>
        </w:rPr>
        <w:t xml:space="preserve"> и</w:t>
      </w:r>
      <w:r w:rsidR="00E27867" w:rsidRPr="00B1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73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16C41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B16C41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="00E27867" w:rsidRPr="00B16C41">
        <w:rPr>
          <w:rFonts w:ascii="Times New Roman" w:hAnsi="Times New Roman" w:cs="Times New Roman"/>
          <w:sz w:val="28"/>
          <w:szCs w:val="28"/>
        </w:rPr>
        <w:t xml:space="preserve">     </w:t>
      </w:r>
      <w:r w:rsidR="00663D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867" w:rsidRPr="00B16C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2279" w:rsidRPr="00B16C41">
        <w:rPr>
          <w:rFonts w:ascii="Times New Roman" w:hAnsi="Times New Roman" w:cs="Times New Roman"/>
          <w:sz w:val="28"/>
          <w:szCs w:val="28"/>
        </w:rPr>
        <w:t xml:space="preserve">       </w:t>
      </w:r>
      <w:r w:rsidR="00E27867" w:rsidRPr="00B16C41">
        <w:rPr>
          <w:rFonts w:ascii="Times New Roman" w:hAnsi="Times New Roman" w:cs="Times New Roman"/>
          <w:sz w:val="28"/>
          <w:szCs w:val="28"/>
        </w:rPr>
        <w:t xml:space="preserve">  </w:t>
      </w:r>
      <w:r w:rsidRPr="00B16C41">
        <w:rPr>
          <w:rFonts w:ascii="Times New Roman" w:hAnsi="Times New Roman" w:cs="Times New Roman"/>
          <w:sz w:val="28"/>
          <w:szCs w:val="28"/>
        </w:rPr>
        <w:t xml:space="preserve"> </w:t>
      </w:r>
      <w:r w:rsidR="00E27867" w:rsidRPr="00B16C41">
        <w:rPr>
          <w:rFonts w:ascii="Times New Roman" w:hAnsi="Times New Roman" w:cs="Times New Roman"/>
          <w:sz w:val="28"/>
          <w:szCs w:val="28"/>
        </w:rPr>
        <w:t>О. М. Малащенко</w:t>
      </w: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B6676" w:rsidRPr="001F3DDF" w:rsidRDefault="001B6676" w:rsidP="009C5D43">
      <w:pPr>
        <w:pStyle w:val="3"/>
        <w:shd w:val="clear" w:color="auto" w:fill="auto"/>
        <w:tabs>
          <w:tab w:val="left" w:pos="1625"/>
        </w:tabs>
        <w:spacing w:before="0" w:after="0" w:line="240" w:lineRule="auto"/>
        <w:ind w:left="709" w:firstLine="0"/>
        <w:jc w:val="both"/>
      </w:pPr>
    </w:p>
    <w:p w:rsidR="001B6676" w:rsidRPr="00B16C41" w:rsidRDefault="001B6676" w:rsidP="001B6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C41">
        <w:rPr>
          <w:rFonts w:ascii="Times New Roman" w:hAnsi="Times New Roman" w:cs="Times New Roman"/>
          <w:sz w:val="24"/>
          <w:szCs w:val="24"/>
        </w:rPr>
        <w:t>УТВЕРЖДЕН</w:t>
      </w:r>
      <w:r w:rsidR="009C5D43">
        <w:rPr>
          <w:rFonts w:ascii="Times New Roman" w:hAnsi="Times New Roman" w:cs="Times New Roman"/>
          <w:sz w:val="24"/>
          <w:szCs w:val="24"/>
        </w:rPr>
        <w:t>О</w:t>
      </w:r>
    </w:p>
    <w:p w:rsidR="001B6676" w:rsidRPr="00B16C41" w:rsidRDefault="001B6676" w:rsidP="001B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1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1B6676" w:rsidRPr="00B16C41" w:rsidRDefault="001B6676" w:rsidP="001B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1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1B6676" w:rsidRPr="00B16C41" w:rsidRDefault="001B6676" w:rsidP="001B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1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1B6676" w:rsidRPr="00B16C41" w:rsidRDefault="001B6676" w:rsidP="001B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B6676" w:rsidRPr="00B16C41" w:rsidRDefault="001B6676" w:rsidP="001B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1">
        <w:rPr>
          <w:rFonts w:ascii="Times New Roman" w:hAnsi="Times New Roman" w:cs="Times New Roman"/>
          <w:sz w:val="24"/>
          <w:szCs w:val="24"/>
        </w:rPr>
        <w:t>от ___</w:t>
      </w:r>
      <w:r w:rsidR="00FD211C">
        <w:rPr>
          <w:rFonts w:ascii="Times New Roman" w:hAnsi="Times New Roman" w:cs="Times New Roman"/>
          <w:sz w:val="24"/>
          <w:szCs w:val="24"/>
        </w:rPr>
        <w:t>____</w:t>
      </w:r>
      <w:r w:rsidRPr="00B16C41">
        <w:rPr>
          <w:rFonts w:ascii="Times New Roman" w:hAnsi="Times New Roman" w:cs="Times New Roman"/>
          <w:sz w:val="24"/>
          <w:szCs w:val="24"/>
        </w:rPr>
        <w:t>____ 2020 № ___</w:t>
      </w:r>
    </w:p>
    <w:p w:rsidR="001B6676" w:rsidRPr="00B16C41" w:rsidRDefault="001B6676" w:rsidP="00FD2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1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1B6676" w:rsidRPr="001B6676" w:rsidRDefault="001B6676" w:rsidP="001B6676">
      <w:pPr>
        <w:pStyle w:val="3"/>
        <w:shd w:val="clear" w:color="auto" w:fill="auto"/>
        <w:tabs>
          <w:tab w:val="left" w:pos="1625"/>
        </w:tabs>
        <w:spacing w:before="0" w:after="195" w:line="260" w:lineRule="exact"/>
        <w:ind w:left="1240" w:firstLine="0"/>
        <w:jc w:val="both"/>
      </w:pPr>
    </w:p>
    <w:p w:rsidR="00C132EE" w:rsidRDefault="00C132EE" w:rsidP="00C132EE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left="1242" w:firstLine="0"/>
        <w:jc w:val="both"/>
        <w:rPr>
          <w:sz w:val="28"/>
          <w:szCs w:val="28"/>
        </w:rPr>
      </w:pPr>
    </w:p>
    <w:p w:rsidR="00C132EE" w:rsidRDefault="00C132EE" w:rsidP="00C132EE">
      <w:pPr>
        <w:pStyle w:val="3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</w:p>
    <w:p w:rsidR="00C132EE" w:rsidRDefault="00293A80" w:rsidP="00C132EE">
      <w:pPr>
        <w:pStyle w:val="3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  <w:hyperlink w:anchor="Par77" w:history="1">
        <w:r w:rsidR="00C132EE" w:rsidRPr="00C132EE">
          <w:rPr>
            <w:sz w:val="28"/>
            <w:szCs w:val="28"/>
          </w:rPr>
          <w:t>Положение</w:t>
        </w:r>
      </w:hyperlink>
    </w:p>
    <w:p w:rsidR="00C132EE" w:rsidRDefault="00C132EE" w:rsidP="00C132EE">
      <w:pPr>
        <w:pStyle w:val="3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  <w:r w:rsidRPr="00C132EE">
        <w:rPr>
          <w:sz w:val="28"/>
          <w:szCs w:val="28"/>
        </w:rPr>
        <w:t xml:space="preserve">о порядке установления стимулирующих выплат 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C132EE">
        <w:rPr>
          <w:sz w:val="28"/>
          <w:szCs w:val="28"/>
        </w:rPr>
        <w:t>рыбохозяйственного</w:t>
      </w:r>
      <w:proofErr w:type="spellEnd"/>
      <w:r w:rsidRPr="00C132EE">
        <w:rPr>
          <w:sz w:val="28"/>
          <w:szCs w:val="28"/>
        </w:rPr>
        <w:t xml:space="preserve"> комплекса</w:t>
      </w:r>
    </w:p>
    <w:p w:rsidR="001B6676" w:rsidRPr="00C132EE" w:rsidRDefault="00C132EE" w:rsidP="00C132EE">
      <w:pPr>
        <w:pStyle w:val="3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  <w:r w:rsidRPr="00C132EE">
        <w:rPr>
          <w:sz w:val="28"/>
          <w:szCs w:val="28"/>
        </w:rPr>
        <w:t>Ленинградской области»</w:t>
      </w:r>
    </w:p>
    <w:p w:rsidR="00C132EE" w:rsidRPr="00612611" w:rsidRDefault="00C132EE" w:rsidP="00612611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C132EE" w:rsidRPr="00612611" w:rsidRDefault="009D5B7B" w:rsidP="00612611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  <w:r w:rsidRPr="00612611">
        <w:rPr>
          <w:sz w:val="28"/>
          <w:szCs w:val="28"/>
          <w:lang w:val="en-US"/>
        </w:rPr>
        <w:t>I</w:t>
      </w:r>
      <w:r w:rsidRPr="00612611">
        <w:rPr>
          <w:sz w:val="28"/>
          <w:szCs w:val="28"/>
        </w:rPr>
        <w:t xml:space="preserve">. </w:t>
      </w:r>
      <w:r w:rsidR="00612611" w:rsidRPr="00612611">
        <w:rPr>
          <w:sz w:val="28"/>
          <w:szCs w:val="28"/>
        </w:rPr>
        <w:t>Общие положения</w:t>
      </w:r>
    </w:p>
    <w:p w:rsidR="00612611" w:rsidRPr="00612611" w:rsidRDefault="00612611" w:rsidP="00612611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612611" w:rsidRDefault="00612611" w:rsidP="00612611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612611">
        <w:rPr>
          <w:sz w:val="28"/>
          <w:szCs w:val="28"/>
        </w:rPr>
        <w:t xml:space="preserve">Настоящее </w:t>
      </w:r>
      <w:hyperlink w:anchor="Par77" w:history="1">
        <w:r w:rsidRPr="00612611">
          <w:rPr>
            <w:sz w:val="28"/>
            <w:szCs w:val="28"/>
          </w:rPr>
          <w:t>Положение</w:t>
        </w:r>
      </w:hyperlink>
      <w:r w:rsidRPr="00612611">
        <w:rPr>
          <w:sz w:val="28"/>
          <w:szCs w:val="28"/>
        </w:rPr>
        <w:t xml:space="preserve"> о порядке установления стимулирующих выплат 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612611">
        <w:rPr>
          <w:sz w:val="28"/>
          <w:szCs w:val="28"/>
        </w:rPr>
        <w:t>рыбохозяйственного</w:t>
      </w:r>
      <w:proofErr w:type="spellEnd"/>
      <w:r w:rsidRPr="00612611">
        <w:rPr>
          <w:sz w:val="28"/>
          <w:szCs w:val="28"/>
        </w:rPr>
        <w:t xml:space="preserve"> комплекса Ленинградской области»</w:t>
      </w:r>
      <w:r>
        <w:rPr>
          <w:sz w:val="28"/>
          <w:szCs w:val="28"/>
        </w:rPr>
        <w:t xml:space="preserve"> (далее - Положение) разработано в соответствии с Трудовым кодексом Российской Федерации, </w:t>
      </w:r>
      <w:r w:rsidR="00BF5B84">
        <w:rPr>
          <w:sz w:val="28"/>
          <w:szCs w:val="28"/>
        </w:rPr>
        <w:t>о</w:t>
      </w:r>
      <w:r w:rsidR="00BF5B84" w:rsidRPr="009A3664">
        <w:rPr>
          <w:sz w:val="28"/>
          <w:szCs w:val="28"/>
        </w:rPr>
        <w:t>бластн</w:t>
      </w:r>
      <w:r w:rsidR="00BF5B84">
        <w:rPr>
          <w:sz w:val="28"/>
          <w:szCs w:val="28"/>
        </w:rPr>
        <w:t>ым</w:t>
      </w:r>
      <w:r w:rsidR="00BF5B84" w:rsidRPr="009A3664">
        <w:rPr>
          <w:sz w:val="28"/>
          <w:szCs w:val="28"/>
        </w:rPr>
        <w:t xml:space="preserve"> закон</w:t>
      </w:r>
      <w:r w:rsidR="00BF5B84">
        <w:rPr>
          <w:sz w:val="28"/>
          <w:szCs w:val="28"/>
        </w:rPr>
        <w:t>ом</w:t>
      </w:r>
      <w:r w:rsidR="00BF5B84" w:rsidRPr="009A3664">
        <w:rPr>
          <w:sz w:val="28"/>
          <w:szCs w:val="28"/>
        </w:rPr>
        <w:t xml:space="preserve"> Ленинградской области от 20</w:t>
      </w:r>
      <w:r w:rsidR="00AE5F65">
        <w:rPr>
          <w:sz w:val="28"/>
          <w:szCs w:val="28"/>
        </w:rPr>
        <w:t xml:space="preserve"> декабря </w:t>
      </w:r>
      <w:r w:rsidR="00BF5B84" w:rsidRPr="009A3664">
        <w:rPr>
          <w:sz w:val="28"/>
          <w:szCs w:val="28"/>
        </w:rPr>
        <w:t>2019</w:t>
      </w:r>
      <w:r w:rsidR="00AE5F65">
        <w:rPr>
          <w:sz w:val="28"/>
          <w:szCs w:val="28"/>
        </w:rPr>
        <w:t xml:space="preserve"> года</w:t>
      </w:r>
      <w:r w:rsidR="00BF5B84" w:rsidRPr="009A3664">
        <w:rPr>
          <w:sz w:val="28"/>
          <w:szCs w:val="28"/>
        </w:rPr>
        <w:t xml:space="preserve"> </w:t>
      </w:r>
      <w:r w:rsidR="00BF5B84">
        <w:rPr>
          <w:sz w:val="28"/>
          <w:szCs w:val="28"/>
        </w:rPr>
        <w:t>№ 103-оз «</w:t>
      </w:r>
      <w:r w:rsidR="00BF5B84" w:rsidRPr="009A3664">
        <w:rPr>
          <w:sz w:val="28"/>
          <w:szCs w:val="28"/>
        </w:rPr>
        <w:t>Об оплате труда работников государственных учреждений Ленинградской области</w:t>
      </w:r>
      <w:r w:rsidR="00BF5B84">
        <w:rPr>
          <w:sz w:val="28"/>
          <w:szCs w:val="28"/>
        </w:rPr>
        <w:t xml:space="preserve">», </w:t>
      </w:r>
      <w:r w:rsidR="00BF5B84" w:rsidRPr="00051FC6">
        <w:rPr>
          <w:sz w:val="28"/>
          <w:szCs w:val="28"/>
        </w:rPr>
        <w:t>постановлени</w:t>
      </w:r>
      <w:r w:rsidR="00BF5B84">
        <w:rPr>
          <w:sz w:val="28"/>
          <w:szCs w:val="28"/>
        </w:rPr>
        <w:t>ем</w:t>
      </w:r>
      <w:r w:rsidR="00BF5B84" w:rsidRPr="00051FC6">
        <w:rPr>
          <w:sz w:val="28"/>
          <w:szCs w:val="28"/>
        </w:rPr>
        <w:t xml:space="preserve"> Правительства Ленинградской области от 30 апреля 2020 года</w:t>
      </w:r>
      <w:proofErr w:type="gramEnd"/>
      <w:r w:rsidR="00BF5B84" w:rsidRPr="00051FC6">
        <w:rPr>
          <w:sz w:val="28"/>
          <w:szCs w:val="28"/>
        </w:rPr>
        <w:t xml:space="preserve"> </w:t>
      </w:r>
      <w:r w:rsidR="000E3091">
        <w:rPr>
          <w:sz w:val="28"/>
          <w:szCs w:val="28"/>
        </w:rPr>
        <w:br/>
      </w:r>
      <w:r w:rsidR="00BF5B84" w:rsidRPr="00051FC6">
        <w:rPr>
          <w:sz w:val="28"/>
          <w:szCs w:val="28"/>
        </w:rPr>
        <w:t xml:space="preserve">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BF5B84" w:rsidRPr="00051FC6">
        <w:rPr>
          <w:sz w:val="28"/>
          <w:szCs w:val="28"/>
        </w:rPr>
        <w:t>утратившими</w:t>
      </w:r>
      <w:proofErr w:type="gramEnd"/>
      <w:r w:rsidR="00BF5B84" w:rsidRPr="00051FC6">
        <w:rPr>
          <w:sz w:val="28"/>
          <w:szCs w:val="28"/>
        </w:rPr>
        <w:t xml:space="preserve"> силу полностью или частично отдельных постановлений </w:t>
      </w:r>
      <w:r w:rsidR="00BF5B84" w:rsidRPr="00BF5B84">
        <w:rPr>
          <w:sz w:val="28"/>
          <w:szCs w:val="28"/>
        </w:rPr>
        <w:t>Правительства Ленинградской области».</w:t>
      </w:r>
    </w:p>
    <w:p w:rsidR="000E3091" w:rsidRPr="00BF5B84" w:rsidRDefault="000E3091" w:rsidP="00612611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устанавливает виды, </w:t>
      </w:r>
      <w:r w:rsidR="007B68DA">
        <w:rPr>
          <w:sz w:val="28"/>
          <w:szCs w:val="28"/>
        </w:rPr>
        <w:t xml:space="preserve">условия, </w:t>
      </w:r>
      <w:r>
        <w:rPr>
          <w:sz w:val="28"/>
          <w:szCs w:val="28"/>
        </w:rPr>
        <w:t>порядок</w:t>
      </w:r>
      <w:r w:rsidR="007B68DA">
        <w:rPr>
          <w:sz w:val="28"/>
          <w:szCs w:val="28"/>
        </w:rPr>
        <w:t xml:space="preserve">  и размеры стимулирующих выплат директору </w:t>
      </w:r>
      <w:r w:rsidR="007B68DA" w:rsidRPr="00612611">
        <w:rPr>
          <w:sz w:val="28"/>
          <w:szCs w:val="28"/>
        </w:rPr>
        <w:t xml:space="preserve">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="007B68DA" w:rsidRPr="00612611">
        <w:rPr>
          <w:sz w:val="28"/>
          <w:szCs w:val="28"/>
        </w:rPr>
        <w:t>рыбохозяйственного</w:t>
      </w:r>
      <w:proofErr w:type="spellEnd"/>
      <w:r w:rsidR="007B68DA" w:rsidRPr="00612611">
        <w:rPr>
          <w:sz w:val="28"/>
          <w:szCs w:val="28"/>
        </w:rPr>
        <w:t xml:space="preserve"> комплекса Ленинградской области»</w:t>
      </w:r>
      <w:r w:rsidR="007B68DA">
        <w:rPr>
          <w:sz w:val="28"/>
          <w:szCs w:val="28"/>
        </w:rPr>
        <w:t xml:space="preserve"> (далее - учреждение).</w:t>
      </w:r>
    </w:p>
    <w:p w:rsidR="00BF5B84" w:rsidRDefault="00BF5B84" w:rsidP="00612611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BF5B84">
        <w:rPr>
          <w:sz w:val="28"/>
          <w:szCs w:val="28"/>
        </w:rPr>
        <w:t>1.</w:t>
      </w:r>
      <w:r w:rsidR="000E3091">
        <w:rPr>
          <w:sz w:val="28"/>
          <w:szCs w:val="28"/>
        </w:rPr>
        <w:t>3</w:t>
      </w:r>
      <w:r w:rsidRPr="00BF5B84">
        <w:rPr>
          <w:sz w:val="28"/>
          <w:szCs w:val="28"/>
        </w:rPr>
        <w:t xml:space="preserve">. </w:t>
      </w:r>
      <w:proofErr w:type="gramStart"/>
      <w:r w:rsidRPr="00BF5B84">
        <w:rPr>
          <w:sz w:val="28"/>
          <w:szCs w:val="28"/>
        </w:rPr>
        <w:t>Понятия и термины, применяемые в настоящем Положении, используются в значениях, определенных в трудовом зако</w:t>
      </w:r>
      <w:bookmarkStart w:id="0" w:name="_GoBack"/>
      <w:bookmarkEnd w:id="0"/>
      <w:r w:rsidRPr="00BF5B84">
        <w:rPr>
          <w:sz w:val="28"/>
          <w:szCs w:val="28"/>
        </w:rPr>
        <w:t>нодательстве и иных нормативных правовых актах Российской Федерации, содержащих нормы трудового права, а также в областном законе о</w:t>
      </w:r>
      <w:r>
        <w:rPr>
          <w:sz w:val="28"/>
          <w:szCs w:val="28"/>
        </w:rPr>
        <w:t xml:space="preserve">т </w:t>
      </w:r>
      <w:r w:rsidR="00FE7950" w:rsidRPr="009A3664">
        <w:rPr>
          <w:sz w:val="28"/>
          <w:szCs w:val="28"/>
        </w:rPr>
        <w:t>20</w:t>
      </w:r>
      <w:r w:rsidR="00AE5F65">
        <w:rPr>
          <w:sz w:val="28"/>
          <w:szCs w:val="28"/>
        </w:rPr>
        <w:t xml:space="preserve"> декабря </w:t>
      </w:r>
      <w:r w:rsidR="00FE7950" w:rsidRPr="009A3664">
        <w:rPr>
          <w:sz w:val="28"/>
          <w:szCs w:val="28"/>
        </w:rPr>
        <w:t>2019</w:t>
      </w:r>
      <w:r w:rsidR="00AE5F65">
        <w:rPr>
          <w:sz w:val="28"/>
          <w:szCs w:val="28"/>
        </w:rPr>
        <w:t xml:space="preserve"> года</w:t>
      </w:r>
      <w:r w:rsidR="00FE7950" w:rsidRPr="009A3664">
        <w:rPr>
          <w:sz w:val="28"/>
          <w:szCs w:val="28"/>
        </w:rPr>
        <w:t xml:space="preserve"> </w:t>
      </w:r>
      <w:r w:rsidR="00FE7950">
        <w:rPr>
          <w:sz w:val="28"/>
          <w:szCs w:val="28"/>
        </w:rPr>
        <w:t>№ 103-оз</w:t>
      </w:r>
      <w:r>
        <w:rPr>
          <w:sz w:val="28"/>
          <w:szCs w:val="28"/>
        </w:rPr>
        <w:t xml:space="preserve"> «</w:t>
      </w:r>
      <w:r w:rsidRPr="00BF5B84">
        <w:rPr>
          <w:sz w:val="28"/>
          <w:szCs w:val="28"/>
        </w:rPr>
        <w:t>Об оплате труда работников государственных учреждений Ленинградской области</w:t>
      </w:r>
      <w:r>
        <w:rPr>
          <w:sz w:val="28"/>
          <w:szCs w:val="28"/>
        </w:rPr>
        <w:t>»</w:t>
      </w:r>
      <w:r w:rsidR="000E3091">
        <w:rPr>
          <w:sz w:val="28"/>
          <w:szCs w:val="28"/>
        </w:rPr>
        <w:t>.</w:t>
      </w:r>
      <w:proofErr w:type="gramEnd"/>
    </w:p>
    <w:p w:rsidR="001B6676" w:rsidRDefault="00612611" w:rsidP="00612611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  <w:r w:rsidRPr="00612611">
        <w:rPr>
          <w:sz w:val="28"/>
          <w:szCs w:val="28"/>
          <w:lang w:val="en-US"/>
        </w:rPr>
        <w:lastRenderedPageBreak/>
        <w:t>II</w:t>
      </w:r>
      <w:r w:rsidRPr="00612611">
        <w:rPr>
          <w:sz w:val="28"/>
          <w:szCs w:val="28"/>
        </w:rPr>
        <w:t xml:space="preserve">. </w:t>
      </w:r>
      <w:r w:rsidR="001B6676" w:rsidRPr="00612611">
        <w:rPr>
          <w:sz w:val="28"/>
          <w:szCs w:val="28"/>
        </w:rPr>
        <w:t xml:space="preserve">Виды и </w:t>
      </w:r>
      <w:r w:rsidR="007B68DA">
        <w:rPr>
          <w:sz w:val="28"/>
          <w:szCs w:val="28"/>
        </w:rPr>
        <w:t xml:space="preserve">размеры </w:t>
      </w:r>
      <w:r w:rsidR="001B6676" w:rsidRPr="00612611">
        <w:rPr>
          <w:sz w:val="28"/>
          <w:szCs w:val="28"/>
        </w:rPr>
        <w:t>стимулирующих выплат</w:t>
      </w:r>
    </w:p>
    <w:p w:rsidR="007B68DA" w:rsidRDefault="007B68DA" w:rsidP="00612611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учреждения</w:t>
      </w:r>
    </w:p>
    <w:p w:rsidR="000E3091" w:rsidRPr="00612611" w:rsidRDefault="000E3091" w:rsidP="00612611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1B6676" w:rsidRPr="002A56C6" w:rsidRDefault="002A56C6" w:rsidP="002A56C6">
      <w:pPr>
        <w:pStyle w:val="3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03142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иректору </w:t>
      </w:r>
      <w:r w:rsidR="001B6676" w:rsidRPr="002A56C6">
        <w:rPr>
          <w:sz w:val="28"/>
          <w:szCs w:val="28"/>
        </w:rPr>
        <w:tab/>
        <w:t>учреждения устанавливаются</w:t>
      </w:r>
      <w:r w:rsidR="00B03142">
        <w:rPr>
          <w:sz w:val="28"/>
          <w:szCs w:val="28"/>
        </w:rPr>
        <w:t xml:space="preserve"> следующие виды с</w:t>
      </w:r>
      <w:r w:rsidR="00B03142" w:rsidRPr="002A56C6">
        <w:rPr>
          <w:sz w:val="28"/>
          <w:szCs w:val="28"/>
        </w:rPr>
        <w:t>тимулирующи</w:t>
      </w:r>
      <w:r w:rsidR="00B03142">
        <w:rPr>
          <w:sz w:val="28"/>
          <w:szCs w:val="28"/>
        </w:rPr>
        <w:t>х</w:t>
      </w:r>
      <w:r w:rsidR="00B03142" w:rsidRPr="002A56C6">
        <w:rPr>
          <w:sz w:val="28"/>
          <w:szCs w:val="28"/>
        </w:rPr>
        <w:t xml:space="preserve"> выплат</w:t>
      </w:r>
      <w:r w:rsidR="001B6676" w:rsidRPr="002A56C6">
        <w:rPr>
          <w:sz w:val="28"/>
          <w:szCs w:val="28"/>
        </w:rPr>
        <w:t>:</w:t>
      </w:r>
    </w:p>
    <w:p w:rsidR="001B6676" w:rsidRPr="00612611" w:rsidRDefault="001B6676" w:rsidP="002A56C6">
      <w:pPr>
        <w:pStyle w:val="3"/>
        <w:shd w:val="clear" w:color="auto" w:fill="auto"/>
        <w:tabs>
          <w:tab w:val="left" w:pos="115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612611">
        <w:rPr>
          <w:sz w:val="28"/>
          <w:szCs w:val="28"/>
        </w:rPr>
        <w:t>а)</w:t>
      </w:r>
      <w:r w:rsidRPr="00612611">
        <w:rPr>
          <w:sz w:val="28"/>
          <w:szCs w:val="28"/>
        </w:rPr>
        <w:tab/>
        <w:t>премиальные выплаты по итогам работы;</w:t>
      </w:r>
    </w:p>
    <w:p w:rsidR="001B6676" w:rsidRPr="00612611" w:rsidRDefault="00FE7950" w:rsidP="002A56C6">
      <w:pPr>
        <w:pStyle w:val="3"/>
        <w:shd w:val="clear" w:color="auto" w:fill="auto"/>
        <w:tabs>
          <w:tab w:val="left" w:pos="1184"/>
        </w:tabs>
        <w:spacing w:before="0" w:after="0"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6676" w:rsidRPr="00612611">
        <w:rPr>
          <w:sz w:val="28"/>
          <w:szCs w:val="28"/>
        </w:rPr>
        <w:t>)</w:t>
      </w:r>
      <w:r w:rsidR="001B6676" w:rsidRPr="00612611">
        <w:rPr>
          <w:sz w:val="28"/>
          <w:szCs w:val="28"/>
        </w:rPr>
        <w:tab/>
        <w:t>премиальные выплаты за выполнение особо важных (срочных) работ;</w:t>
      </w:r>
    </w:p>
    <w:p w:rsidR="001B6676" w:rsidRPr="00612611" w:rsidRDefault="00FE7950" w:rsidP="00A46F06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6676" w:rsidRPr="00612611">
        <w:rPr>
          <w:sz w:val="28"/>
          <w:szCs w:val="28"/>
        </w:rPr>
        <w:t>) премиальные выплаты к значимым датам (событиям).</w:t>
      </w:r>
    </w:p>
    <w:p w:rsidR="002E60EB" w:rsidRPr="00191DD5" w:rsidRDefault="002E60EB" w:rsidP="002E60EB">
      <w:pPr>
        <w:pStyle w:val="Pro-Gramma"/>
        <w:ind w:firstLine="720"/>
      </w:pPr>
      <w:r w:rsidRPr="00191DD5">
        <w:t>Премиальные выплаты по итогам работы выплачиваются</w:t>
      </w:r>
      <w:r>
        <w:t xml:space="preserve"> с</w:t>
      </w:r>
      <w:r w:rsidRPr="00191DD5">
        <w:t xml:space="preserve"> периодичностью подведения итогов работы учреждения</w:t>
      </w:r>
      <w:r>
        <w:t xml:space="preserve"> – </w:t>
      </w:r>
      <w:r w:rsidRPr="00191DD5">
        <w:t>ежемесячно, ежеквартально, за календарный год.</w:t>
      </w:r>
    </w:p>
    <w:p w:rsidR="001B6676" w:rsidRPr="00A46F06" w:rsidRDefault="00A46F06" w:rsidP="00A46F06">
      <w:pPr>
        <w:pStyle w:val="3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B6676" w:rsidRPr="00A46F06">
        <w:rPr>
          <w:sz w:val="28"/>
          <w:szCs w:val="28"/>
        </w:rPr>
        <w:t xml:space="preserve"> </w:t>
      </w:r>
      <w:proofErr w:type="gramStart"/>
      <w:r w:rsidR="001B6676" w:rsidRPr="00A46F06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 xml:space="preserve">директору учреждения </w:t>
      </w:r>
      <w:r w:rsidR="001B6676" w:rsidRPr="00A46F06">
        <w:rPr>
          <w:sz w:val="28"/>
          <w:szCs w:val="28"/>
        </w:rPr>
        <w:t>иных стимулирующих выплат,</w:t>
      </w:r>
      <w:r>
        <w:rPr>
          <w:sz w:val="28"/>
          <w:szCs w:val="28"/>
        </w:rPr>
        <w:t xml:space="preserve"> кроме перечисленных в пункте </w:t>
      </w:r>
      <w:r w:rsidR="001B6676" w:rsidRPr="00A46F06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1B6676" w:rsidRPr="00A46F06">
        <w:rPr>
          <w:sz w:val="28"/>
          <w:szCs w:val="28"/>
        </w:rPr>
        <w:t xml:space="preserve"> настоящего Положения</w:t>
      </w:r>
      <w:r w:rsidR="00AE5F65">
        <w:rPr>
          <w:sz w:val="28"/>
          <w:szCs w:val="28"/>
        </w:rPr>
        <w:t>,</w:t>
      </w:r>
      <w:r w:rsidR="001B6676" w:rsidRPr="00A46F06">
        <w:rPr>
          <w:sz w:val="28"/>
          <w:szCs w:val="28"/>
        </w:rPr>
        <w:t xml:space="preserve"> не допускается.</w:t>
      </w:r>
      <w:proofErr w:type="gramEnd"/>
    </w:p>
    <w:p w:rsidR="001B6676" w:rsidRPr="00A46F06" w:rsidRDefault="009711B5" w:rsidP="009711B5">
      <w:pPr>
        <w:pStyle w:val="3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D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B6676" w:rsidRPr="00A46F06">
        <w:rPr>
          <w:sz w:val="28"/>
          <w:szCs w:val="28"/>
        </w:rPr>
        <w:t>Размер премиальных выплат по итогам работы определяется на основе показателей эффективности и результативности деятельности учреждения и (или) критериев оценки деятельности учреждения  (далее — КПЭ, критерии оценки деятельности).</w:t>
      </w:r>
    </w:p>
    <w:p w:rsidR="001B6676" w:rsidRPr="00A46F06" w:rsidRDefault="001B6676" w:rsidP="00260FA9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A46F06">
        <w:rPr>
          <w:sz w:val="28"/>
          <w:szCs w:val="28"/>
        </w:rPr>
        <w:t>Перечень КПЭ и (или) критериев оценки деятельности устанавливаются в разрезе основных направлений деяте</w:t>
      </w:r>
      <w:r w:rsidR="009711B5">
        <w:rPr>
          <w:sz w:val="28"/>
          <w:szCs w:val="28"/>
        </w:rPr>
        <w:t>льности</w:t>
      </w:r>
      <w:r w:rsidR="00013D76" w:rsidRPr="00C04F2B">
        <w:rPr>
          <w:sz w:val="28"/>
          <w:szCs w:val="28"/>
        </w:rPr>
        <w:t>, определенных уставом учреждения</w:t>
      </w:r>
      <w:r w:rsidRPr="00A46F06">
        <w:rPr>
          <w:sz w:val="28"/>
          <w:szCs w:val="28"/>
        </w:rPr>
        <w:t>.</w:t>
      </w:r>
    </w:p>
    <w:p w:rsidR="001B6676" w:rsidRPr="00C04F2B" w:rsidRDefault="00260FA9" w:rsidP="00C04F2B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DB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B6676" w:rsidRPr="00612611">
        <w:rPr>
          <w:sz w:val="28"/>
          <w:szCs w:val="28"/>
        </w:rPr>
        <w:t xml:space="preserve">В целях определения размера премиальных выплат по итогам работы устанавливается базовый размер премиальных выплат по итогам работы учреждения, определяемый </w:t>
      </w:r>
      <w:r w:rsidR="001B6676" w:rsidRPr="00C04F2B">
        <w:rPr>
          <w:sz w:val="28"/>
          <w:szCs w:val="28"/>
        </w:rPr>
        <w:t>в процентном отношении к сумме должностного оклада</w:t>
      </w:r>
      <w:r w:rsidR="00474671">
        <w:rPr>
          <w:sz w:val="28"/>
          <w:szCs w:val="28"/>
        </w:rPr>
        <w:t xml:space="preserve"> </w:t>
      </w:r>
      <w:r w:rsidR="001B6676" w:rsidRPr="00C04F2B">
        <w:rPr>
          <w:sz w:val="28"/>
          <w:szCs w:val="28"/>
        </w:rPr>
        <w:t xml:space="preserve">и выплат по повышающим коэффициентам к должностному окладу (далее - </w:t>
      </w:r>
      <w:proofErr w:type="spellStart"/>
      <w:r w:rsidR="001B6676" w:rsidRPr="00C04F2B">
        <w:rPr>
          <w:sz w:val="28"/>
          <w:szCs w:val="28"/>
        </w:rPr>
        <w:t>окладно</w:t>
      </w:r>
      <w:proofErr w:type="spellEnd"/>
      <w:r w:rsidR="001B6676" w:rsidRPr="00C04F2B">
        <w:rPr>
          <w:sz w:val="28"/>
          <w:szCs w:val="28"/>
        </w:rPr>
        <w:t>-ст</w:t>
      </w:r>
      <w:r w:rsidR="00C04F2B" w:rsidRPr="00C04F2B">
        <w:rPr>
          <w:sz w:val="28"/>
          <w:szCs w:val="28"/>
        </w:rPr>
        <w:t>авочная часть заработной платы)</w:t>
      </w:r>
      <w:r w:rsidR="001B6676" w:rsidRPr="00C04F2B">
        <w:rPr>
          <w:sz w:val="28"/>
          <w:szCs w:val="28"/>
        </w:rPr>
        <w:t>.</w:t>
      </w:r>
    </w:p>
    <w:p w:rsidR="001B6676" w:rsidRPr="00612611" w:rsidRDefault="001B6676" w:rsidP="003446FA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C04F2B">
        <w:rPr>
          <w:sz w:val="28"/>
          <w:szCs w:val="28"/>
        </w:rPr>
        <w:t>Базовый размер премиальных выплат по итогам работы учреждения соответствует стопроцентному достижению всех плановых значений КПЭ и (или) критериев оценки деятельности</w:t>
      </w:r>
      <w:r w:rsidR="008A13FB">
        <w:rPr>
          <w:sz w:val="28"/>
          <w:szCs w:val="28"/>
        </w:rPr>
        <w:t>. Максимальный размер</w:t>
      </w:r>
      <w:r w:rsidR="008A13FB" w:rsidRPr="008A13FB">
        <w:rPr>
          <w:sz w:val="28"/>
          <w:szCs w:val="28"/>
        </w:rPr>
        <w:t xml:space="preserve"> </w:t>
      </w:r>
      <w:r w:rsidR="008A13FB" w:rsidRPr="00C04F2B">
        <w:rPr>
          <w:sz w:val="28"/>
          <w:szCs w:val="28"/>
        </w:rPr>
        <w:t>премиальных выплат по итогам работы учреждения</w:t>
      </w:r>
      <w:r w:rsidR="00C04F2B">
        <w:rPr>
          <w:sz w:val="28"/>
          <w:szCs w:val="28"/>
        </w:rPr>
        <w:t xml:space="preserve"> составляет</w:t>
      </w:r>
      <w:r w:rsidR="008A13FB">
        <w:rPr>
          <w:sz w:val="28"/>
          <w:szCs w:val="28"/>
        </w:rPr>
        <w:t xml:space="preserve"> 50% </w:t>
      </w:r>
      <w:r w:rsidR="00C04F2B">
        <w:rPr>
          <w:sz w:val="28"/>
          <w:szCs w:val="28"/>
        </w:rPr>
        <w:t xml:space="preserve"> </w:t>
      </w:r>
      <w:proofErr w:type="spellStart"/>
      <w:r w:rsidR="008A13FB" w:rsidRPr="00C04F2B">
        <w:rPr>
          <w:sz w:val="28"/>
          <w:szCs w:val="28"/>
        </w:rPr>
        <w:t>окладно</w:t>
      </w:r>
      <w:proofErr w:type="spellEnd"/>
      <w:r w:rsidR="008A13FB" w:rsidRPr="00C04F2B">
        <w:rPr>
          <w:sz w:val="28"/>
          <w:szCs w:val="28"/>
        </w:rPr>
        <w:t>-ставочн</w:t>
      </w:r>
      <w:r w:rsidR="008A13FB">
        <w:rPr>
          <w:sz w:val="28"/>
          <w:szCs w:val="28"/>
        </w:rPr>
        <w:t>ой</w:t>
      </w:r>
      <w:r w:rsidR="008A13FB" w:rsidRPr="00C04F2B">
        <w:rPr>
          <w:sz w:val="28"/>
          <w:szCs w:val="28"/>
        </w:rPr>
        <w:t xml:space="preserve"> част</w:t>
      </w:r>
      <w:r w:rsidR="008A13FB">
        <w:rPr>
          <w:sz w:val="28"/>
          <w:szCs w:val="28"/>
        </w:rPr>
        <w:t>и</w:t>
      </w:r>
      <w:r w:rsidR="008A13FB" w:rsidRPr="00C04F2B">
        <w:rPr>
          <w:sz w:val="28"/>
          <w:szCs w:val="28"/>
        </w:rPr>
        <w:t xml:space="preserve"> заработной платы</w:t>
      </w:r>
      <w:r w:rsidR="008A13FB">
        <w:rPr>
          <w:sz w:val="28"/>
          <w:szCs w:val="28"/>
        </w:rPr>
        <w:t>.</w:t>
      </w:r>
    </w:p>
    <w:p w:rsidR="001B6676" w:rsidRPr="00504AC7" w:rsidRDefault="003446FA" w:rsidP="00E95139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504AC7">
        <w:rPr>
          <w:sz w:val="28"/>
          <w:szCs w:val="28"/>
        </w:rPr>
        <w:t>2.</w:t>
      </w:r>
      <w:r w:rsidR="003A4DBA" w:rsidRPr="00504AC7">
        <w:rPr>
          <w:sz w:val="28"/>
          <w:szCs w:val="28"/>
        </w:rPr>
        <w:t>5</w:t>
      </w:r>
      <w:r w:rsidRPr="00504AC7">
        <w:rPr>
          <w:sz w:val="28"/>
          <w:szCs w:val="28"/>
        </w:rPr>
        <w:t xml:space="preserve">. </w:t>
      </w:r>
      <w:r w:rsidR="001E3013" w:rsidRPr="00504AC7">
        <w:rPr>
          <w:sz w:val="28"/>
          <w:szCs w:val="28"/>
        </w:rPr>
        <w:t xml:space="preserve">В случае </w:t>
      </w:r>
      <w:proofErr w:type="spellStart"/>
      <w:r w:rsidR="001E3013" w:rsidRPr="00504AC7">
        <w:rPr>
          <w:sz w:val="28"/>
          <w:szCs w:val="28"/>
        </w:rPr>
        <w:t>недостижения</w:t>
      </w:r>
      <w:proofErr w:type="spellEnd"/>
      <w:r w:rsidR="001E3013" w:rsidRPr="00504AC7">
        <w:rPr>
          <w:sz w:val="28"/>
          <w:szCs w:val="28"/>
        </w:rPr>
        <w:t xml:space="preserve"> планового значения КПЭ, критерия оценки деятельности размер премии подлежит сокращению на соответс</w:t>
      </w:r>
      <w:r w:rsidR="001118EF" w:rsidRPr="00504AC7">
        <w:rPr>
          <w:sz w:val="28"/>
          <w:szCs w:val="28"/>
        </w:rPr>
        <w:t>т</w:t>
      </w:r>
      <w:r w:rsidR="001E3013" w:rsidRPr="00504AC7">
        <w:rPr>
          <w:sz w:val="28"/>
          <w:szCs w:val="28"/>
        </w:rPr>
        <w:t>вующи</w:t>
      </w:r>
      <w:r w:rsidR="0011315E" w:rsidRPr="00504AC7">
        <w:rPr>
          <w:sz w:val="28"/>
          <w:szCs w:val="28"/>
        </w:rPr>
        <w:t>й процент</w:t>
      </w:r>
      <w:r w:rsidR="001118EF" w:rsidRPr="00504AC7">
        <w:rPr>
          <w:sz w:val="28"/>
          <w:szCs w:val="28"/>
        </w:rPr>
        <w:t xml:space="preserve"> стимулирующей выплаты</w:t>
      </w:r>
      <w:r w:rsidR="0011315E" w:rsidRPr="00504AC7">
        <w:rPr>
          <w:sz w:val="28"/>
          <w:szCs w:val="28"/>
        </w:rPr>
        <w:t>, установленный для конкретного планового значения КПЭ, критерия оценки деятельности.</w:t>
      </w:r>
      <w:r w:rsidR="001E3013" w:rsidRPr="00504AC7">
        <w:rPr>
          <w:sz w:val="28"/>
          <w:szCs w:val="28"/>
        </w:rPr>
        <w:tab/>
      </w:r>
    </w:p>
    <w:p w:rsidR="001B6676" w:rsidRPr="00B15569" w:rsidRDefault="00BD3BDB" w:rsidP="00E73A4C">
      <w:pPr>
        <w:pStyle w:val="3"/>
        <w:shd w:val="clear" w:color="auto" w:fill="auto"/>
        <w:spacing w:before="0" w:after="0" w:line="276" w:lineRule="auto"/>
        <w:ind w:left="709" w:right="20" w:firstLine="0"/>
        <w:jc w:val="both"/>
        <w:rPr>
          <w:sz w:val="28"/>
          <w:szCs w:val="28"/>
        </w:rPr>
      </w:pPr>
      <w:r w:rsidRPr="00B15569">
        <w:rPr>
          <w:sz w:val="28"/>
          <w:szCs w:val="28"/>
        </w:rPr>
        <w:t>2.</w:t>
      </w:r>
      <w:r w:rsidR="00480608">
        <w:rPr>
          <w:sz w:val="28"/>
          <w:szCs w:val="28"/>
        </w:rPr>
        <w:t>6</w:t>
      </w:r>
      <w:r w:rsidRPr="00B15569">
        <w:rPr>
          <w:sz w:val="28"/>
          <w:szCs w:val="28"/>
        </w:rPr>
        <w:t xml:space="preserve">. </w:t>
      </w:r>
      <w:r w:rsidR="001B6676" w:rsidRPr="00B15569">
        <w:rPr>
          <w:sz w:val="28"/>
          <w:szCs w:val="28"/>
        </w:rPr>
        <w:t>Виды премиальных выплат к значимым датам (событиям):</w:t>
      </w:r>
    </w:p>
    <w:p w:rsidR="001B6676" w:rsidRPr="00612611" w:rsidRDefault="001B6676" w:rsidP="00612611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612611">
        <w:rPr>
          <w:sz w:val="28"/>
          <w:szCs w:val="28"/>
        </w:rPr>
        <w:t>к профессиональным праздникам</w:t>
      </w:r>
      <w:r w:rsidR="00504AC7">
        <w:rPr>
          <w:sz w:val="28"/>
          <w:szCs w:val="28"/>
        </w:rPr>
        <w:t xml:space="preserve"> (</w:t>
      </w:r>
      <w:r w:rsidR="00FC61A7" w:rsidRPr="00FC61A7">
        <w:rPr>
          <w:bCs/>
          <w:color w:val="222222"/>
          <w:sz w:val="28"/>
          <w:szCs w:val="28"/>
          <w:shd w:val="clear" w:color="auto" w:fill="FFFFFF"/>
        </w:rPr>
        <w:t>День работника сельского хозяйства и перерабатывающей промышленности</w:t>
      </w:r>
      <w:r w:rsidR="00504AC7">
        <w:rPr>
          <w:sz w:val="28"/>
          <w:szCs w:val="28"/>
        </w:rPr>
        <w:t>)</w:t>
      </w:r>
      <w:r w:rsidRPr="00612611">
        <w:rPr>
          <w:sz w:val="28"/>
          <w:szCs w:val="28"/>
        </w:rPr>
        <w:t>;</w:t>
      </w:r>
    </w:p>
    <w:p w:rsidR="001B6676" w:rsidRPr="00612611" w:rsidRDefault="001B6676" w:rsidP="00612611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612611">
        <w:rPr>
          <w:sz w:val="28"/>
          <w:szCs w:val="28"/>
        </w:rPr>
        <w:t>к юбилейным датам</w:t>
      </w:r>
      <w:r w:rsidR="00FC61A7">
        <w:rPr>
          <w:sz w:val="28"/>
          <w:szCs w:val="28"/>
        </w:rPr>
        <w:t xml:space="preserve"> (</w:t>
      </w:r>
      <w:r w:rsidR="0042256F">
        <w:rPr>
          <w:sz w:val="28"/>
          <w:szCs w:val="28"/>
        </w:rPr>
        <w:t>5</w:t>
      </w:r>
      <w:r w:rsidR="00480608">
        <w:rPr>
          <w:sz w:val="28"/>
          <w:szCs w:val="28"/>
        </w:rPr>
        <w:t>0 лет со дня рождения и каждые последующие 5 лет</w:t>
      </w:r>
      <w:r w:rsidR="00FC61A7">
        <w:rPr>
          <w:sz w:val="28"/>
          <w:szCs w:val="28"/>
        </w:rPr>
        <w:t>)</w:t>
      </w:r>
      <w:r w:rsidRPr="00612611">
        <w:rPr>
          <w:sz w:val="28"/>
          <w:szCs w:val="28"/>
        </w:rPr>
        <w:t>;</w:t>
      </w:r>
    </w:p>
    <w:p w:rsidR="001B6676" w:rsidRPr="00612611" w:rsidRDefault="001B6676" w:rsidP="00612611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612611">
        <w:rPr>
          <w:sz w:val="28"/>
          <w:szCs w:val="28"/>
        </w:rPr>
        <w:t xml:space="preserve"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</w:t>
      </w:r>
      <w:r w:rsidRPr="00612611">
        <w:rPr>
          <w:sz w:val="28"/>
          <w:szCs w:val="28"/>
        </w:rPr>
        <w:lastRenderedPageBreak/>
        <w:t>Ленинградской области.</w:t>
      </w:r>
    </w:p>
    <w:p w:rsidR="001B6676" w:rsidRPr="00612611" w:rsidRDefault="001B6676" w:rsidP="00612611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 w:rsidRPr="00612611">
        <w:rPr>
          <w:sz w:val="28"/>
          <w:szCs w:val="28"/>
        </w:rPr>
        <w:t>Размер премиальных выплат к профессиональным праздникам, юбилейным датам определяется с учетом профессиональных достижений</w:t>
      </w:r>
      <w:r w:rsidR="00BD3BDB">
        <w:rPr>
          <w:sz w:val="28"/>
          <w:szCs w:val="28"/>
        </w:rPr>
        <w:t xml:space="preserve"> директора учреждения</w:t>
      </w:r>
      <w:r w:rsidRPr="00612611">
        <w:rPr>
          <w:sz w:val="28"/>
          <w:szCs w:val="28"/>
        </w:rPr>
        <w:t>.</w:t>
      </w:r>
    </w:p>
    <w:p w:rsidR="001B6676" w:rsidRPr="00612611" w:rsidRDefault="003A4DBA" w:rsidP="00BD3BDB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 w:rsidRPr="00403EBF">
        <w:rPr>
          <w:sz w:val="28"/>
          <w:szCs w:val="28"/>
        </w:rPr>
        <w:t>2.</w:t>
      </w:r>
      <w:r w:rsidR="00403EBF">
        <w:rPr>
          <w:sz w:val="28"/>
          <w:szCs w:val="28"/>
        </w:rPr>
        <w:t>7</w:t>
      </w:r>
      <w:r w:rsidR="00BD3BDB" w:rsidRPr="00403EBF">
        <w:rPr>
          <w:sz w:val="28"/>
          <w:szCs w:val="28"/>
        </w:rPr>
        <w:t xml:space="preserve">. </w:t>
      </w:r>
      <w:r w:rsidR="001B6676" w:rsidRPr="00403EBF">
        <w:rPr>
          <w:sz w:val="28"/>
          <w:szCs w:val="28"/>
        </w:rPr>
        <w:t xml:space="preserve"> Суммарный по учреждению объем премиальных выплат к значимым датам (событиям) не может превышать 2 проц</w:t>
      </w:r>
      <w:r w:rsidR="00E73A4C" w:rsidRPr="00403EBF">
        <w:rPr>
          <w:sz w:val="28"/>
          <w:szCs w:val="28"/>
        </w:rPr>
        <w:t>ента</w:t>
      </w:r>
      <w:r w:rsidR="001B6676" w:rsidRPr="00403EBF">
        <w:rPr>
          <w:sz w:val="28"/>
          <w:szCs w:val="28"/>
        </w:rPr>
        <w:t xml:space="preserve"> фонда оплаты труда учреждения в целом за календарный год.</w:t>
      </w:r>
    </w:p>
    <w:p w:rsidR="001B6676" w:rsidRPr="00612611" w:rsidRDefault="00403EBF" w:rsidP="00612611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D3BDB">
        <w:rPr>
          <w:sz w:val="28"/>
          <w:szCs w:val="28"/>
        </w:rPr>
        <w:t xml:space="preserve">. </w:t>
      </w:r>
      <w:r w:rsidR="001B6676" w:rsidRPr="00612611">
        <w:rPr>
          <w:sz w:val="28"/>
          <w:szCs w:val="28"/>
        </w:rPr>
        <w:t xml:space="preserve">Для </w:t>
      </w:r>
      <w:r w:rsidR="00BD3BDB">
        <w:rPr>
          <w:sz w:val="28"/>
          <w:szCs w:val="28"/>
        </w:rPr>
        <w:t>директора</w:t>
      </w:r>
      <w:r w:rsidR="001B6676" w:rsidRPr="00612611">
        <w:rPr>
          <w:sz w:val="28"/>
          <w:szCs w:val="28"/>
        </w:rPr>
        <w:t xml:space="preserve"> учреждени</w:t>
      </w:r>
      <w:r w:rsidR="00BD3BDB">
        <w:rPr>
          <w:sz w:val="28"/>
          <w:szCs w:val="28"/>
        </w:rPr>
        <w:t>я</w:t>
      </w:r>
      <w:r w:rsidR="001B6676" w:rsidRPr="00612611">
        <w:rPr>
          <w:sz w:val="28"/>
          <w:szCs w:val="28"/>
        </w:rPr>
        <w:t xml:space="preserve">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</w:t>
      </w:r>
      <w:r w:rsidR="00BD3BDB">
        <w:rPr>
          <w:sz w:val="28"/>
          <w:szCs w:val="28"/>
        </w:rPr>
        <w:t xml:space="preserve"> распоряжением комитета,</w:t>
      </w:r>
      <w:r w:rsidR="001B6676" w:rsidRPr="00612611">
        <w:rPr>
          <w:sz w:val="28"/>
          <w:szCs w:val="28"/>
        </w:rPr>
        <w:t xml:space="preserve"> которые в том числе предусматривают уменьшение размера стимулирующих выплат </w:t>
      </w:r>
      <w:r w:rsidR="00BD3BDB">
        <w:rPr>
          <w:sz w:val="28"/>
          <w:szCs w:val="28"/>
        </w:rPr>
        <w:t xml:space="preserve">директору </w:t>
      </w:r>
      <w:r w:rsidR="001B6676" w:rsidRPr="00612611">
        <w:rPr>
          <w:sz w:val="28"/>
          <w:szCs w:val="28"/>
        </w:rPr>
        <w:t>на 100 проц</w:t>
      </w:r>
      <w:r w:rsidR="00E73A4C">
        <w:rPr>
          <w:sz w:val="28"/>
          <w:szCs w:val="28"/>
        </w:rPr>
        <w:t>ентов</w:t>
      </w:r>
      <w:r w:rsidR="001B6676" w:rsidRPr="00612611">
        <w:rPr>
          <w:sz w:val="28"/>
          <w:szCs w:val="28"/>
        </w:rPr>
        <w:t xml:space="preserve"> в случаях:</w:t>
      </w:r>
    </w:p>
    <w:p w:rsidR="001B6676" w:rsidRPr="00612611" w:rsidRDefault="00E73A4C" w:rsidP="00612611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676" w:rsidRPr="00612611">
        <w:rPr>
          <w:sz w:val="28"/>
          <w:szCs w:val="28"/>
        </w:rPr>
        <w:t>выявления в отчетном периоде фактов нецелевого использования бюджетных средств;</w:t>
      </w:r>
    </w:p>
    <w:p w:rsidR="001B6676" w:rsidRPr="00612611" w:rsidRDefault="00E73A4C" w:rsidP="00612611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676" w:rsidRPr="00612611">
        <w:rPr>
          <w:sz w:val="28"/>
          <w:szCs w:val="28"/>
        </w:rPr>
        <w:t>выявления в отчетном периоде фактов представления недостоверной (искаженной) отчетности о значениях КПЭ, повлекшей установление необоснованно высоких размеров премиальных выплат по итогам работы;</w:t>
      </w:r>
    </w:p>
    <w:p w:rsidR="00BD7195" w:rsidRDefault="00E73A4C" w:rsidP="00BD7195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676" w:rsidRPr="00612611">
        <w:rPr>
          <w:sz w:val="28"/>
          <w:szCs w:val="28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</w:t>
      </w:r>
      <w:r w:rsidR="00BD7195">
        <w:rPr>
          <w:sz w:val="28"/>
          <w:szCs w:val="28"/>
        </w:rPr>
        <w:t>спариваемой в судебном порядке);</w:t>
      </w:r>
    </w:p>
    <w:p w:rsidR="00BD7195" w:rsidRDefault="00BD7195" w:rsidP="00BD7195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директора учреждения к дисциплинарной</w:t>
      </w:r>
      <w:r w:rsidR="00C11CF6">
        <w:rPr>
          <w:sz w:val="28"/>
          <w:szCs w:val="28"/>
        </w:rPr>
        <w:t xml:space="preserve"> и (или) административной</w:t>
      </w:r>
      <w:r>
        <w:rPr>
          <w:sz w:val="28"/>
          <w:szCs w:val="28"/>
        </w:rPr>
        <w:t xml:space="preserve"> ответственности.</w:t>
      </w:r>
    </w:p>
    <w:p w:rsidR="004466BC" w:rsidRDefault="004466BC" w:rsidP="00612611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</w:p>
    <w:p w:rsidR="004466BC" w:rsidRDefault="004466BC" w:rsidP="004466BC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</w:t>
      </w:r>
      <w:r w:rsidRPr="00612611">
        <w:rPr>
          <w:sz w:val="28"/>
          <w:szCs w:val="28"/>
        </w:rPr>
        <w:t>орядок установления стимулирующих выплат</w:t>
      </w:r>
      <w:r>
        <w:rPr>
          <w:sz w:val="28"/>
          <w:szCs w:val="28"/>
        </w:rPr>
        <w:t xml:space="preserve"> </w:t>
      </w:r>
    </w:p>
    <w:p w:rsidR="004466BC" w:rsidRDefault="004466BC" w:rsidP="004466BC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учреждения</w:t>
      </w:r>
    </w:p>
    <w:p w:rsidR="004466BC" w:rsidRPr="004466BC" w:rsidRDefault="004466BC" w:rsidP="00612611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</w:p>
    <w:p w:rsidR="00C11CF6" w:rsidRDefault="00BD7195" w:rsidP="00C11CF6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11CF6" w:rsidRPr="00A46F06">
        <w:rPr>
          <w:sz w:val="28"/>
          <w:szCs w:val="28"/>
        </w:rPr>
        <w:t>Премиальные выплаты</w:t>
      </w:r>
      <w:r w:rsidR="00C11CF6">
        <w:rPr>
          <w:sz w:val="28"/>
          <w:szCs w:val="28"/>
        </w:rPr>
        <w:t xml:space="preserve"> директору учреждения осуществляются по итогам работы учреждения на основании подведенных итогов работы</w:t>
      </w:r>
      <w:r w:rsidR="005A547C">
        <w:rPr>
          <w:sz w:val="28"/>
          <w:szCs w:val="28"/>
        </w:rPr>
        <w:t xml:space="preserve"> за месяц</w:t>
      </w:r>
      <w:r w:rsidR="00C11CF6">
        <w:rPr>
          <w:sz w:val="28"/>
          <w:szCs w:val="28"/>
        </w:rPr>
        <w:t>.</w:t>
      </w:r>
    </w:p>
    <w:p w:rsidR="007307A2" w:rsidRDefault="007307A2" w:rsidP="007307A2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Итоги работы учреждения подводятся на основании о</w:t>
      </w:r>
      <w:r w:rsidRPr="0061261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612611">
        <w:rPr>
          <w:sz w:val="28"/>
          <w:szCs w:val="28"/>
        </w:rPr>
        <w:t xml:space="preserve"> фактического достижения плановых значений КПЭ, критериев оценки деятельности, применяемых для определения размера премиальных выплат по итогам работы</w:t>
      </w:r>
      <w:r>
        <w:rPr>
          <w:sz w:val="28"/>
          <w:szCs w:val="28"/>
        </w:rPr>
        <w:t>, установленных нормативным правовым актом комитета</w:t>
      </w:r>
      <w:r w:rsidR="002E3F3D">
        <w:rPr>
          <w:sz w:val="28"/>
          <w:szCs w:val="28"/>
        </w:rPr>
        <w:t xml:space="preserve"> по агропромышленному и рыбохозяйственному комплексу Ленинградской области (далее – комитет)</w:t>
      </w:r>
      <w:r>
        <w:rPr>
          <w:sz w:val="28"/>
          <w:szCs w:val="28"/>
        </w:rPr>
        <w:t>.</w:t>
      </w:r>
    </w:p>
    <w:p w:rsidR="007770DF" w:rsidRDefault="00C11CF6" w:rsidP="00C11CF6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Итоги работы учреждения </w:t>
      </w:r>
      <w:r w:rsidR="009B20F1">
        <w:rPr>
          <w:sz w:val="28"/>
          <w:szCs w:val="28"/>
        </w:rPr>
        <w:t xml:space="preserve">представляются </w:t>
      </w:r>
      <w:r w:rsidR="001B4C79">
        <w:rPr>
          <w:sz w:val="28"/>
          <w:szCs w:val="28"/>
        </w:rPr>
        <w:t xml:space="preserve">ежемесячно </w:t>
      </w:r>
      <w:r w:rsidR="009B20F1">
        <w:rPr>
          <w:sz w:val="28"/>
          <w:szCs w:val="28"/>
        </w:rPr>
        <w:t>заместителю председателя Правительства Ленинградской области - председател</w:t>
      </w:r>
      <w:r w:rsidR="001B4C79">
        <w:rPr>
          <w:sz w:val="28"/>
          <w:szCs w:val="28"/>
        </w:rPr>
        <w:t>ю</w:t>
      </w:r>
      <w:r w:rsidR="009B20F1">
        <w:rPr>
          <w:sz w:val="28"/>
          <w:szCs w:val="28"/>
        </w:rPr>
        <w:t xml:space="preserve"> комитета по агропромышленному и рыбохозяйственному комплексу в виде служебной записки руководителя учреждения</w:t>
      </w:r>
      <w:r w:rsidR="0042256F">
        <w:rPr>
          <w:sz w:val="28"/>
          <w:szCs w:val="28"/>
        </w:rPr>
        <w:t>, согласованной первым заместителем председателя комитета</w:t>
      </w:r>
      <w:r w:rsidR="002E3F3D">
        <w:rPr>
          <w:sz w:val="28"/>
          <w:szCs w:val="28"/>
        </w:rPr>
        <w:t>, начальником</w:t>
      </w:r>
      <w:r w:rsidR="0087462F">
        <w:rPr>
          <w:sz w:val="28"/>
          <w:szCs w:val="28"/>
        </w:rPr>
        <w:t xml:space="preserve"> отдела финансов и бухгалтерской отчетности, начальником </w:t>
      </w:r>
      <w:r w:rsidR="0087462F">
        <w:rPr>
          <w:sz w:val="28"/>
          <w:szCs w:val="28"/>
        </w:rPr>
        <w:lastRenderedPageBreak/>
        <w:t>отдела прогноза и экономического мониторинга</w:t>
      </w:r>
      <w:r w:rsidR="00443D50">
        <w:rPr>
          <w:sz w:val="28"/>
          <w:szCs w:val="28"/>
        </w:rPr>
        <w:t>,</w:t>
      </w:r>
      <w:r w:rsidR="0042256F">
        <w:rPr>
          <w:sz w:val="28"/>
          <w:szCs w:val="28"/>
        </w:rPr>
        <w:t xml:space="preserve"> </w:t>
      </w:r>
      <w:r w:rsidR="009B20F1">
        <w:rPr>
          <w:sz w:val="28"/>
          <w:szCs w:val="28"/>
        </w:rPr>
        <w:t xml:space="preserve"> с приложением </w:t>
      </w:r>
      <w:r w:rsidR="00FD5C54">
        <w:rPr>
          <w:sz w:val="28"/>
          <w:szCs w:val="28"/>
        </w:rPr>
        <w:t xml:space="preserve">информации об исполнении критериев и показателей </w:t>
      </w:r>
      <w:r w:rsidR="00FD5C54" w:rsidRPr="009273F8">
        <w:rPr>
          <w:sz w:val="28"/>
          <w:szCs w:val="28"/>
        </w:rPr>
        <w:t>эффективности и результативности деятельности</w:t>
      </w:r>
      <w:r w:rsidR="00FD5C54" w:rsidRPr="00C04F2B">
        <w:rPr>
          <w:sz w:val="28"/>
          <w:szCs w:val="28"/>
        </w:rPr>
        <w:t xml:space="preserve"> </w:t>
      </w:r>
      <w:r w:rsidR="007770DF">
        <w:rPr>
          <w:sz w:val="28"/>
          <w:szCs w:val="28"/>
        </w:rPr>
        <w:t xml:space="preserve">учреждения за соответствующий месяц. </w:t>
      </w:r>
      <w:proofErr w:type="gramEnd"/>
    </w:p>
    <w:p w:rsidR="00195336" w:rsidRPr="00B15569" w:rsidRDefault="00195336" w:rsidP="00195336">
      <w:pPr>
        <w:pStyle w:val="3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C7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15569">
        <w:rPr>
          <w:sz w:val="28"/>
          <w:szCs w:val="28"/>
        </w:rPr>
        <w:t>Размеры стимулирующих выплат директору учреждения устанавливаются распоряжениями комитета.</w:t>
      </w:r>
    </w:p>
    <w:p w:rsidR="003A4DBA" w:rsidRDefault="003A4DBA" w:rsidP="00C11CF6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BD7195" w:rsidRDefault="00BD7195" w:rsidP="00855236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</w:p>
    <w:p w:rsidR="002819F0" w:rsidRDefault="002819F0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3E3B0C" w:rsidRPr="003E3B0C" w:rsidRDefault="003E3B0C" w:rsidP="003E3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3B0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FE7950">
        <w:rPr>
          <w:rFonts w:ascii="Times New Roman" w:hAnsi="Times New Roman" w:cs="Times New Roman"/>
          <w:sz w:val="24"/>
          <w:szCs w:val="24"/>
        </w:rPr>
        <w:t>Ы</w:t>
      </w:r>
    </w:p>
    <w:p w:rsidR="003E3B0C" w:rsidRPr="003E3B0C" w:rsidRDefault="003E3B0C" w:rsidP="003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B0C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3E3B0C" w:rsidRPr="003E3B0C" w:rsidRDefault="003E3B0C" w:rsidP="003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B0C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3E3B0C" w:rsidRPr="003E3B0C" w:rsidRDefault="003E3B0C" w:rsidP="003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B0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E3B0C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3E3B0C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3E3B0C" w:rsidRPr="003E3B0C" w:rsidRDefault="003E3B0C" w:rsidP="003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B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E3B0C" w:rsidRPr="003E3B0C" w:rsidRDefault="003E3B0C" w:rsidP="003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B0C">
        <w:rPr>
          <w:rFonts w:ascii="Times New Roman" w:hAnsi="Times New Roman" w:cs="Times New Roman"/>
          <w:sz w:val="24"/>
          <w:szCs w:val="24"/>
        </w:rPr>
        <w:t>от _______ 2020 № ___</w:t>
      </w:r>
    </w:p>
    <w:p w:rsidR="003E3B0C" w:rsidRPr="003E3B0C" w:rsidRDefault="003E3B0C" w:rsidP="003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B0C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3E3B0C" w:rsidRPr="003E3B0C" w:rsidRDefault="003E3B0C" w:rsidP="003E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7"/>
      <w:bookmarkEnd w:id="2"/>
    </w:p>
    <w:p w:rsidR="003E3B0C" w:rsidRPr="003E3B0C" w:rsidRDefault="003E3B0C" w:rsidP="003E3B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B0C">
        <w:rPr>
          <w:rFonts w:ascii="Times New Roman" w:hAnsi="Times New Roman" w:cs="Times New Roman"/>
          <w:sz w:val="28"/>
          <w:szCs w:val="28"/>
        </w:rPr>
        <w:t xml:space="preserve">Критерии и показатели эффективности и результативности деятельности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3E3B0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E3B0C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 и его директора</w:t>
      </w:r>
    </w:p>
    <w:p w:rsidR="003E3B0C" w:rsidRPr="003E3B0C" w:rsidRDefault="003E3B0C" w:rsidP="003E3B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0"/>
        <w:tblW w:w="0" w:type="auto"/>
        <w:tblInd w:w="-176" w:type="dxa"/>
        <w:tblLook w:val="04A0" w:firstRow="1" w:lastRow="0" w:firstColumn="1" w:lastColumn="0" w:noHBand="0" w:noVBand="1"/>
      </w:tblPr>
      <w:tblGrid>
        <w:gridCol w:w="849"/>
        <w:gridCol w:w="4254"/>
        <w:gridCol w:w="2552"/>
        <w:gridCol w:w="2551"/>
      </w:tblGrid>
      <w:tr w:rsidR="003E3B0C" w:rsidRPr="003E3B0C" w:rsidTr="009656EF"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критериев и показателей эффективности и результативности деятельности</w:t>
            </w:r>
          </w:p>
        </w:tc>
        <w:tc>
          <w:tcPr>
            <w:tcW w:w="2552" w:type="dxa"/>
          </w:tcPr>
          <w:p w:rsidR="003E3B0C" w:rsidRPr="003E3B0C" w:rsidRDefault="003E3B0C" w:rsidP="003E3B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критериев и показателей эффективности и результативности деятельности</w:t>
            </w:r>
          </w:p>
        </w:tc>
        <w:tc>
          <w:tcPr>
            <w:tcW w:w="2551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критериев и показателей эффективности и результативности деятельности при выполнении планового значения, </w:t>
            </w:r>
            <w:proofErr w:type="gramStart"/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базовому размеру премиальных выплат</w:t>
            </w:r>
            <w:r w:rsidRPr="003E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B0C" w:rsidRPr="003E3B0C" w:rsidTr="009656EF">
        <w:trPr>
          <w:trHeight w:val="1936"/>
        </w:trPr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ассигнований за счет средств областного бюджета Ленинградской области и федерального бюджета, предусмотренных на реализацию в Ленинградской области федерального (регионального) проекта «Создание системы поддержки фермеров и развития сельскохозяйственной кооперации», нарастающим итогом с начала года</w:t>
            </w:r>
          </w:p>
        </w:tc>
        <w:tc>
          <w:tcPr>
            <w:tcW w:w="2552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– 20%;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 – 45%;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9 месяцев – 70%;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100%. </w:t>
            </w:r>
          </w:p>
        </w:tc>
        <w:tc>
          <w:tcPr>
            <w:tcW w:w="2551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90% до   100 % – 10%;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70% до 90% – </w:t>
            </w:r>
            <w:r w:rsidR="00C524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50% до 70% – </w:t>
            </w:r>
            <w:r w:rsidR="00C52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менее  50% – </w:t>
            </w:r>
            <w:r w:rsidR="00C524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B0C" w:rsidRPr="003E3B0C" w:rsidTr="009656EF">
        <w:trPr>
          <w:trHeight w:val="274"/>
        </w:trPr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Доля принятых бюджетных обязательств в объеме бюджетных ассигнований за счет средств областного бюджета Ленинградской области и федерального бюджета, предусмотренных на реализацию в Ленинградской области федерального (регионального) проекта «Создание системы поддержки фермеров и развития сельскохозяйственной кооперации», нарастающим итогом с начала года</w:t>
            </w:r>
          </w:p>
        </w:tc>
        <w:tc>
          <w:tcPr>
            <w:tcW w:w="2552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1 марта текущего года – 75%</w:t>
            </w:r>
          </w:p>
        </w:tc>
        <w:tc>
          <w:tcPr>
            <w:tcW w:w="2551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90% до   100 % – 10%;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70% до 90% – </w:t>
            </w:r>
            <w:r w:rsidR="00C524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50% до 70% – </w:t>
            </w:r>
            <w:r w:rsidR="00C524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C52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обязательств менее  50% –</w:t>
            </w:r>
            <w:r w:rsidR="00C524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3E3B0C" w:rsidRPr="003E3B0C" w:rsidTr="009656EF">
        <w:trPr>
          <w:trHeight w:val="4105"/>
        </w:trPr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кассового плана по расходам областного бюджета Ленинградской области, а также по расходам, финансовое обеспечение которых предусмотрено за счет средств, предоставляемых Ленинградской области из  федерального бюджета, нарастающим итогом с начала года</w:t>
            </w:r>
          </w:p>
        </w:tc>
        <w:tc>
          <w:tcPr>
            <w:tcW w:w="2552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– 90%</w:t>
            </w:r>
          </w:p>
        </w:tc>
        <w:tc>
          <w:tcPr>
            <w:tcW w:w="2551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90% до   100 % – 10%;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70% до 90% – 7%;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50% до 70% – </w:t>
            </w:r>
            <w:r w:rsidR="002117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21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менее  50% – </w:t>
            </w:r>
            <w:r w:rsidR="002117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3E3B0C" w:rsidRPr="003E3B0C" w:rsidTr="009656EF">
        <w:trPr>
          <w:trHeight w:val="3639"/>
        </w:trPr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результатам мониторинга своевременности и полноты размещения информации о плановой и фактической деятельности учреждения на сайте  </w:t>
            </w:r>
            <w:hyperlink r:id="rId9" w:history="1">
              <w:r w:rsidRPr="003E3B0C">
                <w:rPr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3E3B0C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 xml:space="preserve">., </w:t>
            </w: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своевременно и в полном объеме:</w:t>
            </w:r>
          </w:p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hAnsi="Times New Roman" w:cs="Times New Roman"/>
                <w:color w:val="106BBE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показателей бюджетной сметы </w:t>
            </w: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ежемесячно;</w:t>
            </w:r>
          </w:p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- отчета о результатах деятельности и об использовании государственного имущества – 1 мая.</w:t>
            </w:r>
          </w:p>
        </w:tc>
        <w:tc>
          <w:tcPr>
            <w:tcW w:w="2551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своевременно и в </w:t>
            </w:r>
            <w:proofErr w:type="gramStart"/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полном</w:t>
            </w:r>
            <w:proofErr w:type="gramEnd"/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 – 10%;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не своевременно и не в </w:t>
            </w:r>
            <w:proofErr w:type="gramStart"/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полном</w:t>
            </w:r>
            <w:proofErr w:type="gramEnd"/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 – 0%.</w:t>
            </w:r>
          </w:p>
        </w:tc>
      </w:tr>
      <w:tr w:rsidR="003E3B0C" w:rsidRPr="003E3B0C" w:rsidTr="009656EF"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сельскохозяйственных товаропроизводителей Ленинградской области по вопросам участия в государственных программах, ежемесячно</w:t>
            </w:r>
          </w:p>
        </w:tc>
        <w:tc>
          <w:tcPr>
            <w:tcW w:w="2552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 менее 20 консультаций в месяц </w:t>
            </w:r>
          </w:p>
        </w:tc>
        <w:tc>
          <w:tcPr>
            <w:tcW w:w="2551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90% до   100 % – 10%;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70% до 90% – 7%;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50% до 70% – 5%;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21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менее  50% – </w:t>
            </w:r>
            <w:r w:rsidR="002117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3E3B0C" w:rsidRPr="003E3B0C" w:rsidTr="009656EF"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3E3B0C" w:rsidRPr="003E3B0C" w:rsidRDefault="00512E13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стоимости заключенных государственных контрактов (контрактов) от общей стоимости закупок, предусмотренных планом-графиком, </w:t>
            </w:r>
            <w:r w:rsidR="00157CA2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552" w:type="dxa"/>
          </w:tcPr>
          <w:p w:rsidR="003E3B0C" w:rsidRDefault="003B1A24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месяцев </w:t>
            </w:r>
            <w:r w:rsidR="007E0E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0EA7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  <w:p w:rsidR="007E0EA7" w:rsidRDefault="007E0EA7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EA7" w:rsidRPr="003E3B0C" w:rsidRDefault="007E0EA7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100% </w:t>
            </w:r>
          </w:p>
        </w:tc>
        <w:tc>
          <w:tcPr>
            <w:tcW w:w="2551" w:type="dxa"/>
          </w:tcPr>
          <w:p w:rsidR="007E0EA7" w:rsidRPr="003E3B0C" w:rsidRDefault="007E0EA7" w:rsidP="007E0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90% до   100 % – 10%;</w:t>
            </w:r>
          </w:p>
          <w:p w:rsidR="007E0EA7" w:rsidRPr="003E3B0C" w:rsidRDefault="007E0EA7" w:rsidP="007E0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EA7" w:rsidRPr="003E3B0C" w:rsidRDefault="007E0EA7" w:rsidP="007E0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70% до 90%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7E0EA7" w:rsidRPr="003E3B0C" w:rsidRDefault="007E0EA7" w:rsidP="007E0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EA7" w:rsidRPr="003E3B0C" w:rsidRDefault="007E0EA7" w:rsidP="007E0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50% до 70%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7E0EA7" w:rsidRPr="003E3B0C" w:rsidRDefault="007E0EA7" w:rsidP="007E0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EA7" w:rsidRPr="003E3B0C" w:rsidRDefault="007E0EA7" w:rsidP="007E0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менее  50%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B0C" w:rsidRPr="003E3B0C" w:rsidTr="009656EF"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судебных актов, предусматривающих обращение взыскания на средства областного бюджета  и/или обоснованных (частично обоснованных) актов прокурорского реагирования</w:t>
            </w:r>
            <w:proofErr w:type="gramStart"/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актов (решений, нарушений)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актов (решений, нарушений)</w:t>
            </w:r>
          </w:p>
        </w:tc>
        <w:tc>
          <w:tcPr>
            <w:tcW w:w="2551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актов (решений, нарушений) – 10%;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Наличие 1 акта (решения, нарушения) – 8%;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от 2 до 3 актов (решений, нарушений) – 5%;</w:t>
            </w:r>
          </w:p>
          <w:p w:rsidR="003E3B0C" w:rsidRPr="003E3B0C" w:rsidRDefault="003E3B0C" w:rsidP="00A4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более 3 актов (решений, нарушений) – </w:t>
            </w:r>
            <w:r w:rsidR="00A44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3E3B0C" w:rsidRPr="003E3B0C" w:rsidTr="009656EF"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КФХ и </w:t>
            </w:r>
            <w:proofErr w:type="spellStart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услуги ЦК по оформлению документов на получение </w:t>
            </w:r>
            <w:proofErr w:type="spellStart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 а также субсидий </w:t>
            </w:r>
            <w:proofErr w:type="spellStart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 и фактически получивших средства такой поддержки в результате оказания указанных услуг (единиц) </w:t>
            </w:r>
          </w:p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B0C" w:rsidRPr="003E3B0C" w:rsidRDefault="003E3B0C" w:rsidP="004D0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4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указанной государственной поддержки в текущем </w:t>
            </w:r>
            <w:r w:rsidR="00A44425">
              <w:rPr>
                <w:rFonts w:ascii="Times New Roman" w:hAnsi="Times New Roman" w:cs="Times New Roman"/>
                <w:sz w:val="24"/>
                <w:szCs w:val="24"/>
              </w:rPr>
              <w:t>месяце</w:t>
            </w:r>
          </w:p>
        </w:tc>
        <w:tc>
          <w:tcPr>
            <w:tcW w:w="2551" w:type="dxa"/>
          </w:tcPr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90% до   100 % – 10%;</w:t>
            </w: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70% до 90%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50% до 70%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менее  50%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B0C" w:rsidRPr="003E3B0C" w:rsidTr="009656EF"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Доля КФХ и </w:t>
            </w:r>
            <w:proofErr w:type="spellStart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услуги ЦК, в общем количестве заявителей из сельскохозяйственных товаропроизводителей, являющихся субъектами МСП, на получение услуг ЦК (процентов) </w:t>
            </w:r>
          </w:p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B0C" w:rsidRPr="003E3B0C" w:rsidRDefault="003E3B0C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5% заявителей в </w:t>
            </w:r>
            <w:r w:rsidR="00805BD3"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текущем </w:t>
            </w:r>
            <w:r w:rsidR="00805BD3">
              <w:rPr>
                <w:rFonts w:ascii="Times New Roman" w:hAnsi="Times New Roman" w:cs="Times New Roman"/>
                <w:sz w:val="24"/>
                <w:szCs w:val="24"/>
              </w:rPr>
              <w:t>месяце</w:t>
            </w:r>
          </w:p>
        </w:tc>
        <w:tc>
          <w:tcPr>
            <w:tcW w:w="2551" w:type="dxa"/>
          </w:tcPr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90% до   100 % – 10%;</w:t>
            </w: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70% до 90%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50% до 70%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A0B" w:rsidRPr="003E3B0C" w:rsidRDefault="00D11A0B" w:rsidP="00D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менее  50%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B0C" w:rsidRPr="003E3B0C" w:rsidTr="009656EF">
        <w:tc>
          <w:tcPr>
            <w:tcW w:w="849" w:type="dxa"/>
          </w:tcPr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4" w:type="dxa"/>
          </w:tcPr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101E5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(осуществляющих деятельность и сдающих налоговую, статистическую, ревизионную и ведомственную отчетность) КФХ и </w:t>
            </w:r>
            <w:proofErr w:type="spellStart"/>
            <w:r w:rsidR="004101E5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4101E5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</w:t>
            </w: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КФХ и </w:t>
            </w:r>
            <w:proofErr w:type="spellStart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3E3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BD3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в Ленинградской области </w:t>
            </w: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 </w:t>
            </w:r>
          </w:p>
          <w:p w:rsidR="003E3B0C" w:rsidRPr="003E3B0C" w:rsidRDefault="003E3B0C" w:rsidP="003E3B0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B0C" w:rsidRPr="003E3B0C" w:rsidRDefault="003E3B0C" w:rsidP="00BF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5% заявителей </w:t>
            </w:r>
            <w:r w:rsidR="00BF4282"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текущем </w:t>
            </w:r>
            <w:proofErr w:type="gramStart"/>
            <w:r w:rsidR="00BF4282">
              <w:rPr>
                <w:rFonts w:ascii="Times New Roman" w:hAnsi="Times New Roman" w:cs="Times New Roman"/>
                <w:sz w:val="24"/>
                <w:szCs w:val="24"/>
              </w:rPr>
              <w:t>месяце</w:t>
            </w:r>
            <w:proofErr w:type="gramEnd"/>
            <w:r w:rsidR="00BF4282" w:rsidRPr="003E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F4282" w:rsidRPr="003E3B0C" w:rsidRDefault="00BF4282" w:rsidP="00BF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от 90% до   100 % – 10%;</w:t>
            </w:r>
          </w:p>
          <w:p w:rsidR="00BF4282" w:rsidRPr="003E3B0C" w:rsidRDefault="00BF4282" w:rsidP="00BF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282" w:rsidRPr="003E3B0C" w:rsidRDefault="00BF4282" w:rsidP="00BF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70% до 90%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F4282" w:rsidRPr="003E3B0C" w:rsidRDefault="00BF4282" w:rsidP="00BF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282" w:rsidRPr="003E3B0C" w:rsidRDefault="00BF4282" w:rsidP="00BF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от 50% до 70%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F4282" w:rsidRPr="003E3B0C" w:rsidRDefault="00BF4282" w:rsidP="00BF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282" w:rsidRPr="003E3B0C" w:rsidRDefault="00BF4282" w:rsidP="00BF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обязательств менее  50%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3B0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3E3B0C" w:rsidRPr="003E3B0C" w:rsidRDefault="003E3B0C" w:rsidP="003E3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3B0C" w:rsidRPr="003E3B0C" w:rsidRDefault="003E3B0C" w:rsidP="003E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3B0C" w:rsidRPr="003E3B0C" w:rsidSect="007B68DA">
      <w:pgSz w:w="11905" w:h="16838"/>
      <w:pgMar w:top="993" w:right="848" w:bottom="1134" w:left="851" w:header="0" w:footer="5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80" w:rsidRDefault="00293A80" w:rsidP="00B41E6B">
      <w:pPr>
        <w:spacing w:after="0" w:line="240" w:lineRule="auto"/>
      </w:pPr>
      <w:r>
        <w:separator/>
      </w:r>
    </w:p>
  </w:endnote>
  <w:endnote w:type="continuationSeparator" w:id="0">
    <w:p w:rsidR="00293A80" w:rsidRDefault="00293A80" w:rsidP="00B4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80" w:rsidRDefault="00293A80" w:rsidP="00B41E6B">
      <w:pPr>
        <w:spacing w:after="0" w:line="240" w:lineRule="auto"/>
      </w:pPr>
      <w:r>
        <w:separator/>
      </w:r>
    </w:p>
  </w:footnote>
  <w:footnote w:type="continuationSeparator" w:id="0">
    <w:p w:rsidR="00293A80" w:rsidRDefault="00293A80" w:rsidP="00B4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EC8"/>
    <w:multiLevelType w:val="hybridMultilevel"/>
    <w:tmpl w:val="3962B146"/>
    <w:lvl w:ilvl="0" w:tplc="DDDE2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F91048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0427C"/>
    <w:multiLevelType w:val="multilevel"/>
    <w:tmpl w:val="1E6451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23E2B90"/>
    <w:multiLevelType w:val="hybridMultilevel"/>
    <w:tmpl w:val="02E4426A"/>
    <w:lvl w:ilvl="0" w:tplc="EED64F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523025"/>
    <w:multiLevelType w:val="hybridMultilevel"/>
    <w:tmpl w:val="DFC4E226"/>
    <w:lvl w:ilvl="0" w:tplc="73528B4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492DF1"/>
    <w:multiLevelType w:val="hybridMultilevel"/>
    <w:tmpl w:val="5B706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27B8B"/>
    <w:multiLevelType w:val="hybridMultilevel"/>
    <w:tmpl w:val="0C2409E6"/>
    <w:lvl w:ilvl="0" w:tplc="5BD0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73576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6"/>
    <w:rsid w:val="00001C61"/>
    <w:rsid w:val="000048C5"/>
    <w:rsid w:val="00007B1C"/>
    <w:rsid w:val="00007B76"/>
    <w:rsid w:val="00010F10"/>
    <w:rsid w:val="0001250C"/>
    <w:rsid w:val="00013D76"/>
    <w:rsid w:val="00020F9F"/>
    <w:rsid w:val="0002285F"/>
    <w:rsid w:val="00023D8C"/>
    <w:rsid w:val="000245CF"/>
    <w:rsid w:val="00027449"/>
    <w:rsid w:val="000276D1"/>
    <w:rsid w:val="00035398"/>
    <w:rsid w:val="00035EBB"/>
    <w:rsid w:val="0003628B"/>
    <w:rsid w:val="00036CEA"/>
    <w:rsid w:val="00040765"/>
    <w:rsid w:val="00041FD8"/>
    <w:rsid w:val="0004396F"/>
    <w:rsid w:val="000442C9"/>
    <w:rsid w:val="00044D37"/>
    <w:rsid w:val="00046F43"/>
    <w:rsid w:val="00051FC6"/>
    <w:rsid w:val="0005265D"/>
    <w:rsid w:val="00052797"/>
    <w:rsid w:val="00056775"/>
    <w:rsid w:val="000608C8"/>
    <w:rsid w:val="00062271"/>
    <w:rsid w:val="00062AE3"/>
    <w:rsid w:val="00062E70"/>
    <w:rsid w:val="000650C9"/>
    <w:rsid w:val="000716E0"/>
    <w:rsid w:val="00072EFA"/>
    <w:rsid w:val="0008192F"/>
    <w:rsid w:val="000842B4"/>
    <w:rsid w:val="00084896"/>
    <w:rsid w:val="000858DE"/>
    <w:rsid w:val="000935C1"/>
    <w:rsid w:val="00094835"/>
    <w:rsid w:val="00095B9E"/>
    <w:rsid w:val="00097508"/>
    <w:rsid w:val="000978B8"/>
    <w:rsid w:val="000A0092"/>
    <w:rsid w:val="000A11DC"/>
    <w:rsid w:val="000A1F78"/>
    <w:rsid w:val="000A3BEC"/>
    <w:rsid w:val="000B5D67"/>
    <w:rsid w:val="000B63D2"/>
    <w:rsid w:val="000B71B0"/>
    <w:rsid w:val="000C01E1"/>
    <w:rsid w:val="000C09A3"/>
    <w:rsid w:val="000C2BFC"/>
    <w:rsid w:val="000C3E25"/>
    <w:rsid w:val="000C432E"/>
    <w:rsid w:val="000C48E6"/>
    <w:rsid w:val="000D1B61"/>
    <w:rsid w:val="000D2A7F"/>
    <w:rsid w:val="000D420F"/>
    <w:rsid w:val="000D627E"/>
    <w:rsid w:val="000D6901"/>
    <w:rsid w:val="000E06C0"/>
    <w:rsid w:val="000E3091"/>
    <w:rsid w:val="000E4DE8"/>
    <w:rsid w:val="000E5EE3"/>
    <w:rsid w:val="000E639F"/>
    <w:rsid w:val="000E69FC"/>
    <w:rsid w:val="000E6BD8"/>
    <w:rsid w:val="000E71A4"/>
    <w:rsid w:val="000F0CAC"/>
    <w:rsid w:val="000F122D"/>
    <w:rsid w:val="000F28E5"/>
    <w:rsid w:val="000F57CA"/>
    <w:rsid w:val="000F5E5D"/>
    <w:rsid w:val="000F719F"/>
    <w:rsid w:val="00100084"/>
    <w:rsid w:val="00103CD6"/>
    <w:rsid w:val="00106DF7"/>
    <w:rsid w:val="00111119"/>
    <w:rsid w:val="001118EF"/>
    <w:rsid w:val="0011315E"/>
    <w:rsid w:val="00114261"/>
    <w:rsid w:val="00114BBC"/>
    <w:rsid w:val="0011558F"/>
    <w:rsid w:val="001161CC"/>
    <w:rsid w:val="0011673E"/>
    <w:rsid w:val="00121928"/>
    <w:rsid w:val="0012382F"/>
    <w:rsid w:val="001333FE"/>
    <w:rsid w:val="0013483C"/>
    <w:rsid w:val="00150729"/>
    <w:rsid w:val="00150AFF"/>
    <w:rsid w:val="00154634"/>
    <w:rsid w:val="00155F8C"/>
    <w:rsid w:val="00157CA2"/>
    <w:rsid w:val="0016265A"/>
    <w:rsid w:val="001631BE"/>
    <w:rsid w:val="00165522"/>
    <w:rsid w:val="00170FDB"/>
    <w:rsid w:val="001712E4"/>
    <w:rsid w:val="00171765"/>
    <w:rsid w:val="00171E19"/>
    <w:rsid w:val="00172981"/>
    <w:rsid w:val="00173E84"/>
    <w:rsid w:val="00176A53"/>
    <w:rsid w:val="0018090B"/>
    <w:rsid w:val="00181AC7"/>
    <w:rsid w:val="001824BE"/>
    <w:rsid w:val="0018622A"/>
    <w:rsid w:val="001905BF"/>
    <w:rsid w:val="001944A4"/>
    <w:rsid w:val="0019470E"/>
    <w:rsid w:val="00195336"/>
    <w:rsid w:val="00196DCF"/>
    <w:rsid w:val="00197A98"/>
    <w:rsid w:val="001A2463"/>
    <w:rsid w:val="001A3996"/>
    <w:rsid w:val="001A46A0"/>
    <w:rsid w:val="001A4DAB"/>
    <w:rsid w:val="001A69E8"/>
    <w:rsid w:val="001B08AD"/>
    <w:rsid w:val="001B208B"/>
    <w:rsid w:val="001B49A0"/>
    <w:rsid w:val="001B4C79"/>
    <w:rsid w:val="001B6676"/>
    <w:rsid w:val="001C464B"/>
    <w:rsid w:val="001C63CD"/>
    <w:rsid w:val="001D26C4"/>
    <w:rsid w:val="001D306D"/>
    <w:rsid w:val="001D3850"/>
    <w:rsid w:val="001D395C"/>
    <w:rsid w:val="001D4288"/>
    <w:rsid w:val="001D6CBE"/>
    <w:rsid w:val="001D7415"/>
    <w:rsid w:val="001E1284"/>
    <w:rsid w:val="001E1795"/>
    <w:rsid w:val="001E295A"/>
    <w:rsid w:val="001E3013"/>
    <w:rsid w:val="001E4E88"/>
    <w:rsid w:val="001E53FB"/>
    <w:rsid w:val="001E7B94"/>
    <w:rsid w:val="001F1D1E"/>
    <w:rsid w:val="001F31C9"/>
    <w:rsid w:val="001F3790"/>
    <w:rsid w:val="001F3B7F"/>
    <w:rsid w:val="001F3DDF"/>
    <w:rsid w:val="001F7305"/>
    <w:rsid w:val="00201441"/>
    <w:rsid w:val="0020236D"/>
    <w:rsid w:val="00203A5C"/>
    <w:rsid w:val="002071DB"/>
    <w:rsid w:val="0021079A"/>
    <w:rsid w:val="002117C5"/>
    <w:rsid w:val="00211E4E"/>
    <w:rsid w:val="00223826"/>
    <w:rsid w:val="0022542E"/>
    <w:rsid w:val="00225ABB"/>
    <w:rsid w:val="00225B13"/>
    <w:rsid w:val="00227E4F"/>
    <w:rsid w:val="00233480"/>
    <w:rsid w:val="002346B7"/>
    <w:rsid w:val="00236489"/>
    <w:rsid w:val="00236496"/>
    <w:rsid w:val="00236E89"/>
    <w:rsid w:val="0024229E"/>
    <w:rsid w:val="00244862"/>
    <w:rsid w:val="00250392"/>
    <w:rsid w:val="002509A5"/>
    <w:rsid w:val="00252C45"/>
    <w:rsid w:val="00253B81"/>
    <w:rsid w:val="00253F80"/>
    <w:rsid w:val="00260FA9"/>
    <w:rsid w:val="00265DDC"/>
    <w:rsid w:val="00267266"/>
    <w:rsid w:val="0026767E"/>
    <w:rsid w:val="002678B4"/>
    <w:rsid w:val="002705DC"/>
    <w:rsid w:val="0027170E"/>
    <w:rsid w:val="00273320"/>
    <w:rsid w:val="002819F0"/>
    <w:rsid w:val="0028334A"/>
    <w:rsid w:val="002839CB"/>
    <w:rsid w:val="00284F72"/>
    <w:rsid w:val="0028637F"/>
    <w:rsid w:val="002867FD"/>
    <w:rsid w:val="0029303A"/>
    <w:rsid w:val="00293A80"/>
    <w:rsid w:val="002940EB"/>
    <w:rsid w:val="00295434"/>
    <w:rsid w:val="0029727E"/>
    <w:rsid w:val="002A1305"/>
    <w:rsid w:val="002A29D3"/>
    <w:rsid w:val="002A361C"/>
    <w:rsid w:val="002A3AEE"/>
    <w:rsid w:val="002A48A2"/>
    <w:rsid w:val="002A56C6"/>
    <w:rsid w:val="002B1B8E"/>
    <w:rsid w:val="002B1BE1"/>
    <w:rsid w:val="002B285E"/>
    <w:rsid w:val="002B30FD"/>
    <w:rsid w:val="002B5ECE"/>
    <w:rsid w:val="002B6BC5"/>
    <w:rsid w:val="002C0393"/>
    <w:rsid w:val="002C0967"/>
    <w:rsid w:val="002C17C4"/>
    <w:rsid w:val="002C5B6C"/>
    <w:rsid w:val="002D00F2"/>
    <w:rsid w:val="002D2399"/>
    <w:rsid w:val="002D2445"/>
    <w:rsid w:val="002D49FE"/>
    <w:rsid w:val="002D5F15"/>
    <w:rsid w:val="002E0975"/>
    <w:rsid w:val="002E13A2"/>
    <w:rsid w:val="002E3F3D"/>
    <w:rsid w:val="002E47BA"/>
    <w:rsid w:val="002E567D"/>
    <w:rsid w:val="002E60EB"/>
    <w:rsid w:val="002E7157"/>
    <w:rsid w:val="002E7949"/>
    <w:rsid w:val="002E7EA7"/>
    <w:rsid w:val="002F03BE"/>
    <w:rsid w:val="002F23C3"/>
    <w:rsid w:val="002F3815"/>
    <w:rsid w:val="002F48D1"/>
    <w:rsid w:val="002F5239"/>
    <w:rsid w:val="002F57C5"/>
    <w:rsid w:val="002F7050"/>
    <w:rsid w:val="002F766D"/>
    <w:rsid w:val="003021FC"/>
    <w:rsid w:val="00303ADD"/>
    <w:rsid w:val="00303BFC"/>
    <w:rsid w:val="0031024E"/>
    <w:rsid w:val="0031053E"/>
    <w:rsid w:val="00311C9B"/>
    <w:rsid w:val="00311EA1"/>
    <w:rsid w:val="0031266F"/>
    <w:rsid w:val="00312EC3"/>
    <w:rsid w:val="003130DD"/>
    <w:rsid w:val="00313E5C"/>
    <w:rsid w:val="00314C76"/>
    <w:rsid w:val="0032048E"/>
    <w:rsid w:val="003208F7"/>
    <w:rsid w:val="00320939"/>
    <w:rsid w:val="00323DAB"/>
    <w:rsid w:val="00325397"/>
    <w:rsid w:val="00332A52"/>
    <w:rsid w:val="00337090"/>
    <w:rsid w:val="00337FF3"/>
    <w:rsid w:val="0034076C"/>
    <w:rsid w:val="00340B61"/>
    <w:rsid w:val="00343030"/>
    <w:rsid w:val="003446FA"/>
    <w:rsid w:val="00344D0F"/>
    <w:rsid w:val="00344FBA"/>
    <w:rsid w:val="003479D2"/>
    <w:rsid w:val="00352BE7"/>
    <w:rsid w:val="003546FA"/>
    <w:rsid w:val="00366949"/>
    <w:rsid w:val="00371291"/>
    <w:rsid w:val="00374D73"/>
    <w:rsid w:val="0037504E"/>
    <w:rsid w:val="00375931"/>
    <w:rsid w:val="003811F6"/>
    <w:rsid w:val="00382756"/>
    <w:rsid w:val="00382C64"/>
    <w:rsid w:val="00383451"/>
    <w:rsid w:val="00384CE7"/>
    <w:rsid w:val="00387A83"/>
    <w:rsid w:val="00387DC8"/>
    <w:rsid w:val="0039075A"/>
    <w:rsid w:val="00390B26"/>
    <w:rsid w:val="0039537F"/>
    <w:rsid w:val="00395900"/>
    <w:rsid w:val="0039643D"/>
    <w:rsid w:val="003969D1"/>
    <w:rsid w:val="003A0BAB"/>
    <w:rsid w:val="003A165F"/>
    <w:rsid w:val="003A234C"/>
    <w:rsid w:val="003A3360"/>
    <w:rsid w:val="003A414A"/>
    <w:rsid w:val="003A45C8"/>
    <w:rsid w:val="003A4DBA"/>
    <w:rsid w:val="003A6AE7"/>
    <w:rsid w:val="003A75C3"/>
    <w:rsid w:val="003B1A24"/>
    <w:rsid w:val="003B3B0F"/>
    <w:rsid w:val="003B5E7B"/>
    <w:rsid w:val="003C38C8"/>
    <w:rsid w:val="003C3904"/>
    <w:rsid w:val="003C4A79"/>
    <w:rsid w:val="003D05FF"/>
    <w:rsid w:val="003D1B70"/>
    <w:rsid w:val="003D3225"/>
    <w:rsid w:val="003D3D35"/>
    <w:rsid w:val="003D69A9"/>
    <w:rsid w:val="003D74B6"/>
    <w:rsid w:val="003E017E"/>
    <w:rsid w:val="003E3B0C"/>
    <w:rsid w:val="003F2042"/>
    <w:rsid w:val="00400E6E"/>
    <w:rsid w:val="00400F33"/>
    <w:rsid w:val="00401060"/>
    <w:rsid w:val="0040354E"/>
    <w:rsid w:val="00403EBF"/>
    <w:rsid w:val="0040697C"/>
    <w:rsid w:val="004101E5"/>
    <w:rsid w:val="00412059"/>
    <w:rsid w:val="004167E9"/>
    <w:rsid w:val="0042256F"/>
    <w:rsid w:val="00423885"/>
    <w:rsid w:val="00425562"/>
    <w:rsid w:val="00425C0B"/>
    <w:rsid w:val="004310D7"/>
    <w:rsid w:val="00434076"/>
    <w:rsid w:val="004342A0"/>
    <w:rsid w:val="00436116"/>
    <w:rsid w:val="00441742"/>
    <w:rsid w:val="00442040"/>
    <w:rsid w:val="00443D50"/>
    <w:rsid w:val="00444C2A"/>
    <w:rsid w:val="00444C75"/>
    <w:rsid w:val="0044607E"/>
    <w:rsid w:val="004466BC"/>
    <w:rsid w:val="00451AEA"/>
    <w:rsid w:val="00451B2D"/>
    <w:rsid w:val="00452AD7"/>
    <w:rsid w:val="0045423B"/>
    <w:rsid w:val="00454785"/>
    <w:rsid w:val="00461062"/>
    <w:rsid w:val="0046593D"/>
    <w:rsid w:val="00465C3E"/>
    <w:rsid w:val="00471EAE"/>
    <w:rsid w:val="00472CEB"/>
    <w:rsid w:val="00474671"/>
    <w:rsid w:val="004759B2"/>
    <w:rsid w:val="004801BE"/>
    <w:rsid w:val="00480608"/>
    <w:rsid w:val="00480E64"/>
    <w:rsid w:val="0048227E"/>
    <w:rsid w:val="00487530"/>
    <w:rsid w:val="00493FF7"/>
    <w:rsid w:val="00496CA0"/>
    <w:rsid w:val="004A0096"/>
    <w:rsid w:val="004A0267"/>
    <w:rsid w:val="004A4E9C"/>
    <w:rsid w:val="004A5E8A"/>
    <w:rsid w:val="004A63DC"/>
    <w:rsid w:val="004B1CD5"/>
    <w:rsid w:val="004B4818"/>
    <w:rsid w:val="004B694D"/>
    <w:rsid w:val="004B6B38"/>
    <w:rsid w:val="004C25BD"/>
    <w:rsid w:val="004C4594"/>
    <w:rsid w:val="004C6978"/>
    <w:rsid w:val="004C704E"/>
    <w:rsid w:val="004D060F"/>
    <w:rsid w:val="004D0D7C"/>
    <w:rsid w:val="004D11B8"/>
    <w:rsid w:val="004D2E26"/>
    <w:rsid w:val="004D3A78"/>
    <w:rsid w:val="004D55F6"/>
    <w:rsid w:val="004D7339"/>
    <w:rsid w:val="004D796D"/>
    <w:rsid w:val="004E3086"/>
    <w:rsid w:val="004E3E0C"/>
    <w:rsid w:val="004E45F1"/>
    <w:rsid w:val="004E4735"/>
    <w:rsid w:val="004F0AD2"/>
    <w:rsid w:val="004F10D8"/>
    <w:rsid w:val="004F30FE"/>
    <w:rsid w:val="004F5EA5"/>
    <w:rsid w:val="004F6449"/>
    <w:rsid w:val="00504AC7"/>
    <w:rsid w:val="005057E5"/>
    <w:rsid w:val="00505FB6"/>
    <w:rsid w:val="00506BFC"/>
    <w:rsid w:val="00507606"/>
    <w:rsid w:val="00507810"/>
    <w:rsid w:val="00507CA0"/>
    <w:rsid w:val="00511D9C"/>
    <w:rsid w:val="00512E13"/>
    <w:rsid w:val="005138AD"/>
    <w:rsid w:val="00515AF1"/>
    <w:rsid w:val="00517A7E"/>
    <w:rsid w:val="005200AB"/>
    <w:rsid w:val="00520589"/>
    <w:rsid w:val="00523878"/>
    <w:rsid w:val="00523A63"/>
    <w:rsid w:val="00525052"/>
    <w:rsid w:val="005255F0"/>
    <w:rsid w:val="005259E1"/>
    <w:rsid w:val="005266DC"/>
    <w:rsid w:val="005328E1"/>
    <w:rsid w:val="00533352"/>
    <w:rsid w:val="00533447"/>
    <w:rsid w:val="0053510D"/>
    <w:rsid w:val="00535F4A"/>
    <w:rsid w:val="005364C2"/>
    <w:rsid w:val="00540BBA"/>
    <w:rsid w:val="00543FD5"/>
    <w:rsid w:val="00552591"/>
    <w:rsid w:val="00554175"/>
    <w:rsid w:val="0055475F"/>
    <w:rsid w:val="00564694"/>
    <w:rsid w:val="00564FE0"/>
    <w:rsid w:val="005654E5"/>
    <w:rsid w:val="00567C97"/>
    <w:rsid w:val="00570694"/>
    <w:rsid w:val="005716C6"/>
    <w:rsid w:val="00573CF8"/>
    <w:rsid w:val="005753A2"/>
    <w:rsid w:val="00580771"/>
    <w:rsid w:val="00586765"/>
    <w:rsid w:val="00586AB6"/>
    <w:rsid w:val="005905E4"/>
    <w:rsid w:val="00591733"/>
    <w:rsid w:val="00592035"/>
    <w:rsid w:val="005937CE"/>
    <w:rsid w:val="00593D48"/>
    <w:rsid w:val="0059443E"/>
    <w:rsid w:val="005A08A3"/>
    <w:rsid w:val="005A0F7A"/>
    <w:rsid w:val="005A4757"/>
    <w:rsid w:val="005A547C"/>
    <w:rsid w:val="005A5DBC"/>
    <w:rsid w:val="005A6F1D"/>
    <w:rsid w:val="005B0E89"/>
    <w:rsid w:val="005B19FA"/>
    <w:rsid w:val="005B1F7F"/>
    <w:rsid w:val="005B278E"/>
    <w:rsid w:val="005B4FDE"/>
    <w:rsid w:val="005B5EA0"/>
    <w:rsid w:val="005B79EB"/>
    <w:rsid w:val="005C3A3A"/>
    <w:rsid w:val="005C65BC"/>
    <w:rsid w:val="005D2D4C"/>
    <w:rsid w:val="005D302C"/>
    <w:rsid w:val="005D4B0A"/>
    <w:rsid w:val="005E06C5"/>
    <w:rsid w:val="005E108B"/>
    <w:rsid w:val="005F0070"/>
    <w:rsid w:val="005F34EF"/>
    <w:rsid w:val="005F62CF"/>
    <w:rsid w:val="005F775A"/>
    <w:rsid w:val="006021C3"/>
    <w:rsid w:val="006023BC"/>
    <w:rsid w:val="00602C4C"/>
    <w:rsid w:val="006043F9"/>
    <w:rsid w:val="00610D57"/>
    <w:rsid w:val="00610F49"/>
    <w:rsid w:val="006110C1"/>
    <w:rsid w:val="00612611"/>
    <w:rsid w:val="00615215"/>
    <w:rsid w:val="00615528"/>
    <w:rsid w:val="006156B2"/>
    <w:rsid w:val="0062110D"/>
    <w:rsid w:val="006215C5"/>
    <w:rsid w:val="00622760"/>
    <w:rsid w:val="006228DC"/>
    <w:rsid w:val="00626178"/>
    <w:rsid w:val="0062644D"/>
    <w:rsid w:val="00630236"/>
    <w:rsid w:val="00630AED"/>
    <w:rsid w:val="00634500"/>
    <w:rsid w:val="006347BB"/>
    <w:rsid w:val="0063483A"/>
    <w:rsid w:val="00637031"/>
    <w:rsid w:val="00637725"/>
    <w:rsid w:val="00643AB8"/>
    <w:rsid w:val="00644DB8"/>
    <w:rsid w:val="00647F45"/>
    <w:rsid w:val="00652635"/>
    <w:rsid w:val="00653BEE"/>
    <w:rsid w:val="006557CD"/>
    <w:rsid w:val="00657436"/>
    <w:rsid w:val="00657CB5"/>
    <w:rsid w:val="00663D98"/>
    <w:rsid w:val="00665F58"/>
    <w:rsid w:val="00670793"/>
    <w:rsid w:val="00670FFF"/>
    <w:rsid w:val="00671872"/>
    <w:rsid w:val="00673B82"/>
    <w:rsid w:val="0067759E"/>
    <w:rsid w:val="00677F8F"/>
    <w:rsid w:val="00685B5C"/>
    <w:rsid w:val="006913C0"/>
    <w:rsid w:val="0069145C"/>
    <w:rsid w:val="00691825"/>
    <w:rsid w:val="00695089"/>
    <w:rsid w:val="006967C9"/>
    <w:rsid w:val="00696918"/>
    <w:rsid w:val="006A0262"/>
    <w:rsid w:val="006A1A7D"/>
    <w:rsid w:val="006A3BFF"/>
    <w:rsid w:val="006B11CA"/>
    <w:rsid w:val="006B4BA6"/>
    <w:rsid w:val="006B5092"/>
    <w:rsid w:val="006B5218"/>
    <w:rsid w:val="006B591D"/>
    <w:rsid w:val="006B601C"/>
    <w:rsid w:val="006B7007"/>
    <w:rsid w:val="006C514F"/>
    <w:rsid w:val="006C5C16"/>
    <w:rsid w:val="006D399B"/>
    <w:rsid w:val="006E0124"/>
    <w:rsid w:val="006E2064"/>
    <w:rsid w:val="006E6199"/>
    <w:rsid w:val="006E6568"/>
    <w:rsid w:val="006E748B"/>
    <w:rsid w:val="006E75A8"/>
    <w:rsid w:val="006F5A01"/>
    <w:rsid w:val="006F5AA3"/>
    <w:rsid w:val="00702C61"/>
    <w:rsid w:val="00702D53"/>
    <w:rsid w:val="0070442D"/>
    <w:rsid w:val="00706326"/>
    <w:rsid w:val="00707F79"/>
    <w:rsid w:val="00713F16"/>
    <w:rsid w:val="0071421D"/>
    <w:rsid w:val="00715804"/>
    <w:rsid w:val="007177A5"/>
    <w:rsid w:val="00720646"/>
    <w:rsid w:val="007213D6"/>
    <w:rsid w:val="0072173D"/>
    <w:rsid w:val="007254FB"/>
    <w:rsid w:val="007305F9"/>
    <w:rsid w:val="007307A2"/>
    <w:rsid w:val="00730A92"/>
    <w:rsid w:val="00731E0D"/>
    <w:rsid w:val="007357C6"/>
    <w:rsid w:val="00735C26"/>
    <w:rsid w:val="00741623"/>
    <w:rsid w:val="00742027"/>
    <w:rsid w:val="007439FE"/>
    <w:rsid w:val="00743A20"/>
    <w:rsid w:val="007442E0"/>
    <w:rsid w:val="00747EA1"/>
    <w:rsid w:val="00751A7B"/>
    <w:rsid w:val="00755809"/>
    <w:rsid w:val="0075739B"/>
    <w:rsid w:val="007578C4"/>
    <w:rsid w:val="00761C3C"/>
    <w:rsid w:val="0076404A"/>
    <w:rsid w:val="007663E5"/>
    <w:rsid w:val="007707F5"/>
    <w:rsid w:val="0077167C"/>
    <w:rsid w:val="0077399A"/>
    <w:rsid w:val="007745D9"/>
    <w:rsid w:val="0077670E"/>
    <w:rsid w:val="00776ED5"/>
    <w:rsid w:val="007770DF"/>
    <w:rsid w:val="00777294"/>
    <w:rsid w:val="007777C0"/>
    <w:rsid w:val="00782A96"/>
    <w:rsid w:val="00782CD5"/>
    <w:rsid w:val="007833FF"/>
    <w:rsid w:val="007A10DF"/>
    <w:rsid w:val="007A16A4"/>
    <w:rsid w:val="007A2EDC"/>
    <w:rsid w:val="007A32D8"/>
    <w:rsid w:val="007B0430"/>
    <w:rsid w:val="007B1FA7"/>
    <w:rsid w:val="007B4961"/>
    <w:rsid w:val="007B68DA"/>
    <w:rsid w:val="007B7407"/>
    <w:rsid w:val="007C7367"/>
    <w:rsid w:val="007D00B3"/>
    <w:rsid w:val="007D1F89"/>
    <w:rsid w:val="007D4CF4"/>
    <w:rsid w:val="007E0078"/>
    <w:rsid w:val="007E0EA7"/>
    <w:rsid w:val="007E2ED4"/>
    <w:rsid w:val="007E4BF7"/>
    <w:rsid w:val="007E536C"/>
    <w:rsid w:val="007F3950"/>
    <w:rsid w:val="007F466D"/>
    <w:rsid w:val="007F4C27"/>
    <w:rsid w:val="00805BD3"/>
    <w:rsid w:val="00805FDA"/>
    <w:rsid w:val="008203A6"/>
    <w:rsid w:val="00820EAE"/>
    <w:rsid w:val="00825390"/>
    <w:rsid w:val="00826B98"/>
    <w:rsid w:val="00830C6F"/>
    <w:rsid w:val="00831BF8"/>
    <w:rsid w:val="00832DA7"/>
    <w:rsid w:val="00841B0A"/>
    <w:rsid w:val="008430EC"/>
    <w:rsid w:val="008434AB"/>
    <w:rsid w:val="008438D6"/>
    <w:rsid w:val="00845802"/>
    <w:rsid w:val="00845FB4"/>
    <w:rsid w:val="008464B3"/>
    <w:rsid w:val="00846AF4"/>
    <w:rsid w:val="008505F8"/>
    <w:rsid w:val="00853B1E"/>
    <w:rsid w:val="00853C94"/>
    <w:rsid w:val="00855236"/>
    <w:rsid w:val="00856337"/>
    <w:rsid w:val="0086355B"/>
    <w:rsid w:val="00864077"/>
    <w:rsid w:val="00866A9B"/>
    <w:rsid w:val="0086709B"/>
    <w:rsid w:val="00867FDF"/>
    <w:rsid w:val="008724AB"/>
    <w:rsid w:val="00872519"/>
    <w:rsid w:val="0087261C"/>
    <w:rsid w:val="00872A64"/>
    <w:rsid w:val="0087462F"/>
    <w:rsid w:val="00875077"/>
    <w:rsid w:val="008750DE"/>
    <w:rsid w:val="0087555E"/>
    <w:rsid w:val="00875E32"/>
    <w:rsid w:val="008921E1"/>
    <w:rsid w:val="0089341A"/>
    <w:rsid w:val="008935F2"/>
    <w:rsid w:val="0089473F"/>
    <w:rsid w:val="00894F9D"/>
    <w:rsid w:val="008A0DA4"/>
    <w:rsid w:val="008A13FB"/>
    <w:rsid w:val="008A2DC2"/>
    <w:rsid w:val="008A42DA"/>
    <w:rsid w:val="008B21F6"/>
    <w:rsid w:val="008B21FD"/>
    <w:rsid w:val="008B23E2"/>
    <w:rsid w:val="008B3CB8"/>
    <w:rsid w:val="008B44AE"/>
    <w:rsid w:val="008C1E3B"/>
    <w:rsid w:val="008C4286"/>
    <w:rsid w:val="008C4E87"/>
    <w:rsid w:val="008C5893"/>
    <w:rsid w:val="008C7C49"/>
    <w:rsid w:val="008D066F"/>
    <w:rsid w:val="008D194F"/>
    <w:rsid w:val="008D3755"/>
    <w:rsid w:val="008D4E04"/>
    <w:rsid w:val="008D52BE"/>
    <w:rsid w:val="008D7FD6"/>
    <w:rsid w:val="008E0296"/>
    <w:rsid w:val="008E0B96"/>
    <w:rsid w:val="008E0D3F"/>
    <w:rsid w:val="008E2176"/>
    <w:rsid w:val="008E33FB"/>
    <w:rsid w:val="008E4198"/>
    <w:rsid w:val="008E4546"/>
    <w:rsid w:val="008E65D1"/>
    <w:rsid w:val="008E6654"/>
    <w:rsid w:val="008F3382"/>
    <w:rsid w:val="008F3A55"/>
    <w:rsid w:val="008F3E9C"/>
    <w:rsid w:val="008F4E56"/>
    <w:rsid w:val="008F55A9"/>
    <w:rsid w:val="008F64F7"/>
    <w:rsid w:val="009000D1"/>
    <w:rsid w:val="00902F1E"/>
    <w:rsid w:val="00903CF2"/>
    <w:rsid w:val="009063CC"/>
    <w:rsid w:val="00907089"/>
    <w:rsid w:val="0090767E"/>
    <w:rsid w:val="00907D74"/>
    <w:rsid w:val="00912C4E"/>
    <w:rsid w:val="00914260"/>
    <w:rsid w:val="0091444F"/>
    <w:rsid w:val="009203DC"/>
    <w:rsid w:val="00921AB6"/>
    <w:rsid w:val="009262D3"/>
    <w:rsid w:val="0092633C"/>
    <w:rsid w:val="009273F8"/>
    <w:rsid w:val="00927D8C"/>
    <w:rsid w:val="009325BA"/>
    <w:rsid w:val="00934415"/>
    <w:rsid w:val="009370D3"/>
    <w:rsid w:val="0094111D"/>
    <w:rsid w:val="009451B9"/>
    <w:rsid w:val="00945798"/>
    <w:rsid w:val="0094661C"/>
    <w:rsid w:val="0094722A"/>
    <w:rsid w:val="009479AF"/>
    <w:rsid w:val="009505BD"/>
    <w:rsid w:val="009506F1"/>
    <w:rsid w:val="009551DA"/>
    <w:rsid w:val="00955F87"/>
    <w:rsid w:val="0096321F"/>
    <w:rsid w:val="0097025D"/>
    <w:rsid w:val="009711B5"/>
    <w:rsid w:val="009716E2"/>
    <w:rsid w:val="00971E2E"/>
    <w:rsid w:val="00972F4D"/>
    <w:rsid w:val="00974ED4"/>
    <w:rsid w:val="00976B95"/>
    <w:rsid w:val="009808B3"/>
    <w:rsid w:val="0098198A"/>
    <w:rsid w:val="00982279"/>
    <w:rsid w:val="0098333A"/>
    <w:rsid w:val="0098366E"/>
    <w:rsid w:val="009868CB"/>
    <w:rsid w:val="00992CDF"/>
    <w:rsid w:val="00993D36"/>
    <w:rsid w:val="0099486F"/>
    <w:rsid w:val="009976FC"/>
    <w:rsid w:val="009A0A5E"/>
    <w:rsid w:val="009A1407"/>
    <w:rsid w:val="009A3134"/>
    <w:rsid w:val="009A31F3"/>
    <w:rsid w:val="009A3664"/>
    <w:rsid w:val="009A3D0F"/>
    <w:rsid w:val="009A4331"/>
    <w:rsid w:val="009A4C8C"/>
    <w:rsid w:val="009A7536"/>
    <w:rsid w:val="009B0D39"/>
    <w:rsid w:val="009B1017"/>
    <w:rsid w:val="009B20F1"/>
    <w:rsid w:val="009B2A56"/>
    <w:rsid w:val="009B44AF"/>
    <w:rsid w:val="009B63AB"/>
    <w:rsid w:val="009B704E"/>
    <w:rsid w:val="009C0067"/>
    <w:rsid w:val="009C0B32"/>
    <w:rsid w:val="009C5B5B"/>
    <w:rsid w:val="009C5D43"/>
    <w:rsid w:val="009D1B9A"/>
    <w:rsid w:val="009D35FF"/>
    <w:rsid w:val="009D36C3"/>
    <w:rsid w:val="009D4340"/>
    <w:rsid w:val="009D55D1"/>
    <w:rsid w:val="009D5B7B"/>
    <w:rsid w:val="009D6B18"/>
    <w:rsid w:val="009D6CC7"/>
    <w:rsid w:val="009E29F8"/>
    <w:rsid w:val="009E49F1"/>
    <w:rsid w:val="009E56DB"/>
    <w:rsid w:val="009E61F7"/>
    <w:rsid w:val="009F4D60"/>
    <w:rsid w:val="00A07343"/>
    <w:rsid w:val="00A11075"/>
    <w:rsid w:val="00A11564"/>
    <w:rsid w:val="00A13BA8"/>
    <w:rsid w:val="00A1430C"/>
    <w:rsid w:val="00A14B92"/>
    <w:rsid w:val="00A15388"/>
    <w:rsid w:val="00A2019D"/>
    <w:rsid w:val="00A21C43"/>
    <w:rsid w:val="00A2341F"/>
    <w:rsid w:val="00A24F1F"/>
    <w:rsid w:val="00A273BE"/>
    <w:rsid w:val="00A30880"/>
    <w:rsid w:val="00A319DF"/>
    <w:rsid w:val="00A3452F"/>
    <w:rsid w:val="00A3565E"/>
    <w:rsid w:val="00A35ADA"/>
    <w:rsid w:val="00A36000"/>
    <w:rsid w:val="00A44425"/>
    <w:rsid w:val="00A44A30"/>
    <w:rsid w:val="00A4679B"/>
    <w:rsid w:val="00A46F06"/>
    <w:rsid w:val="00A50E6F"/>
    <w:rsid w:val="00A55B82"/>
    <w:rsid w:val="00A569FF"/>
    <w:rsid w:val="00A57494"/>
    <w:rsid w:val="00A57CDE"/>
    <w:rsid w:val="00A63E39"/>
    <w:rsid w:val="00A67BF9"/>
    <w:rsid w:val="00A751DA"/>
    <w:rsid w:val="00A772D4"/>
    <w:rsid w:val="00A81CC3"/>
    <w:rsid w:val="00A85D3B"/>
    <w:rsid w:val="00A86490"/>
    <w:rsid w:val="00A86D02"/>
    <w:rsid w:val="00A8755D"/>
    <w:rsid w:val="00A955A8"/>
    <w:rsid w:val="00A97E4D"/>
    <w:rsid w:val="00AA09F0"/>
    <w:rsid w:val="00AA15C8"/>
    <w:rsid w:val="00AA191C"/>
    <w:rsid w:val="00AA1B24"/>
    <w:rsid w:val="00AA2966"/>
    <w:rsid w:val="00AA47A7"/>
    <w:rsid w:val="00AA6885"/>
    <w:rsid w:val="00AA756B"/>
    <w:rsid w:val="00AB4C3C"/>
    <w:rsid w:val="00AB615B"/>
    <w:rsid w:val="00AB7975"/>
    <w:rsid w:val="00AC32D7"/>
    <w:rsid w:val="00AC3343"/>
    <w:rsid w:val="00AC3CBE"/>
    <w:rsid w:val="00AC5514"/>
    <w:rsid w:val="00AD1C31"/>
    <w:rsid w:val="00AD41EE"/>
    <w:rsid w:val="00AD48BA"/>
    <w:rsid w:val="00AD52B0"/>
    <w:rsid w:val="00AD74DA"/>
    <w:rsid w:val="00AE1234"/>
    <w:rsid w:val="00AE3A07"/>
    <w:rsid w:val="00AE5CEF"/>
    <w:rsid w:val="00AE5E77"/>
    <w:rsid w:val="00AE5F65"/>
    <w:rsid w:val="00AE61C9"/>
    <w:rsid w:val="00AE6892"/>
    <w:rsid w:val="00AF3089"/>
    <w:rsid w:val="00B017C4"/>
    <w:rsid w:val="00B03142"/>
    <w:rsid w:val="00B0751E"/>
    <w:rsid w:val="00B12B7B"/>
    <w:rsid w:val="00B15569"/>
    <w:rsid w:val="00B15D3B"/>
    <w:rsid w:val="00B16C41"/>
    <w:rsid w:val="00B2173E"/>
    <w:rsid w:val="00B21FDA"/>
    <w:rsid w:val="00B22527"/>
    <w:rsid w:val="00B247BC"/>
    <w:rsid w:val="00B24807"/>
    <w:rsid w:val="00B24D95"/>
    <w:rsid w:val="00B25D4F"/>
    <w:rsid w:val="00B30C24"/>
    <w:rsid w:val="00B31B3D"/>
    <w:rsid w:val="00B31EE4"/>
    <w:rsid w:val="00B346D9"/>
    <w:rsid w:val="00B36AC7"/>
    <w:rsid w:val="00B37B7A"/>
    <w:rsid w:val="00B4079B"/>
    <w:rsid w:val="00B4157C"/>
    <w:rsid w:val="00B41B46"/>
    <w:rsid w:val="00B41E6B"/>
    <w:rsid w:val="00B4302D"/>
    <w:rsid w:val="00B43BBC"/>
    <w:rsid w:val="00B4638D"/>
    <w:rsid w:val="00B47259"/>
    <w:rsid w:val="00B50151"/>
    <w:rsid w:val="00B56C4E"/>
    <w:rsid w:val="00B63C2D"/>
    <w:rsid w:val="00B668F0"/>
    <w:rsid w:val="00B673D6"/>
    <w:rsid w:val="00B70389"/>
    <w:rsid w:val="00B748C5"/>
    <w:rsid w:val="00B74A93"/>
    <w:rsid w:val="00B76A89"/>
    <w:rsid w:val="00B77083"/>
    <w:rsid w:val="00B7771A"/>
    <w:rsid w:val="00B77D86"/>
    <w:rsid w:val="00B80937"/>
    <w:rsid w:val="00B81C64"/>
    <w:rsid w:val="00B8379F"/>
    <w:rsid w:val="00B83F6B"/>
    <w:rsid w:val="00B85C87"/>
    <w:rsid w:val="00B85F2A"/>
    <w:rsid w:val="00B87325"/>
    <w:rsid w:val="00B87E2B"/>
    <w:rsid w:val="00B937D6"/>
    <w:rsid w:val="00B94265"/>
    <w:rsid w:val="00B94C8D"/>
    <w:rsid w:val="00BA08FD"/>
    <w:rsid w:val="00BA71D2"/>
    <w:rsid w:val="00BA72E4"/>
    <w:rsid w:val="00BA7BDB"/>
    <w:rsid w:val="00BA7CE9"/>
    <w:rsid w:val="00BB0D47"/>
    <w:rsid w:val="00BB1B4D"/>
    <w:rsid w:val="00BB27E7"/>
    <w:rsid w:val="00BB4D96"/>
    <w:rsid w:val="00BC2873"/>
    <w:rsid w:val="00BC3C74"/>
    <w:rsid w:val="00BD3BDB"/>
    <w:rsid w:val="00BD4783"/>
    <w:rsid w:val="00BD6D09"/>
    <w:rsid w:val="00BD7195"/>
    <w:rsid w:val="00BE019E"/>
    <w:rsid w:val="00BE1773"/>
    <w:rsid w:val="00BE1FA5"/>
    <w:rsid w:val="00BE28DF"/>
    <w:rsid w:val="00BE2C9A"/>
    <w:rsid w:val="00BF4282"/>
    <w:rsid w:val="00BF4E60"/>
    <w:rsid w:val="00BF5B84"/>
    <w:rsid w:val="00C0048D"/>
    <w:rsid w:val="00C029E0"/>
    <w:rsid w:val="00C0336F"/>
    <w:rsid w:val="00C04E22"/>
    <w:rsid w:val="00C04F2B"/>
    <w:rsid w:val="00C101FA"/>
    <w:rsid w:val="00C10DB7"/>
    <w:rsid w:val="00C11624"/>
    <w:rsid w:val="00C11755"/>
    <w:rsid w:val="00C11CF6"/>
    <w:rsid w:val="00C12349"/>
    <w:rsid w:val="00C12BA1"/>
    <w:rsid w:val="00C132EE"/>
    <w:rsid w:val="00C13E93"/>
    <w:rsid w:val="00C15708"/>
    <w:rsid w:val="00C17701"/>
    <w:rsid w:val="00C22455"/>
    <w:rsid w:val="00C23C15"/>
    <w:rsid w:val="00C2495B"/>
    <w:rsid w:val="00C252F2"/>
    <w:rsid w:val="00C265BD"/>
    <w:rsid w:val="00C323B0"/>
    <w:rsid w:val="00C323F1"/>
    <w:rsid w:val="00C345BA"/>
    <w:rsid w:val="00C42356"/>
    <w:rsid w:val="00C43EE0"/>
    <w:rsid w:val="00C44742"/>
    <w:rsid w:val="00C474AA"/>
    <w:rsid w:val="00C504A1"/>
    <w:rsid w:val="00C51FDF"/>
    <w:rsid w:val="00C5244A"/>
    <w:rsid w:val="00C53BCD"/>
    <w:rsid w:val="00C57C81"/>
    <w:rsid w:val="00C604FD"/>
    <w:rsid w:val="00C62F3B"/>
    <w:rsid w:val="00C63E90"/>
    <w:rsid w:val="00C64DA8"/>
    <w:rsid w:val="00C712CE"/>
    <w:rsid w:val="00C721E1"/>
    <w:rsid w:val="00C7227F"/>
    <w:rsid w:val="00C75F11"/>
    <w:rsid w:val="00C760B8"/>
    <w:rsid w:val="00C80626"/>
    <w:rsid w:val="00C81771"/>
    <w:rsid w:val="00C82E9D"/>
    <w:rsid w:val="00C87DD3"/>
    <w:rsid w:val="00C91FD0"/>
    <w:rsid w:val="00C9236D"/>
    <w:rsid w:val="00C92817"/>
    <w:rsid w:val="00C929A0"/>
    <w:rsid w:val="00C92FCD"/>
    <w:rsid w:val="00C964BF"/>
    <w:rsid w:val="00C96D80"/>
    <w:rsid w:val="00C97213"/>
    <w:rsid w:val="00C97C2F"/>
    <w:rsid w:val="00CA061F"/>
    <w:rsid w:val="00CA6FC3"/>
    <w:rsid w:val="00CA7399"/>
    <w:rsid w:val="00CB03CF"/>
    <w:rsid w:val="00CB043C"/>
    <w:rsid w:val="00CB0524"/>
    <w:rsid w:val="00CB25A2"/>
    <w:rsid w:val="00CB4994"/>
    <w:rsid w:val="00CC045F"/>
    <w:rsid w:val="00CC0D72"/>
    <w:rsid w:val="00CC2669"/>
    <w:rsid w:val="00CC271A"/>
    <w:rsid w:val="00CC3DC3"/>
    <w:rsid w:val="00CC5418"/>
    <w:rsid w:val="00CC55B1"/>
    <w:rsid w:val="00CC6858"/>
    <w:rsid w:val="00CD3FF2"/>
    <w:rsid w:val="00CD42D9"/>
    <w:rsid w:val="00CD4D91"/>
    <w:rsid w:val="00CD5BFA"/>
    <w:rsid w:val="00CE4E49"/>
    <w:rsid w:val="00CE60BE"/>
    <w:rsid w:val="00CE6419"/>
    <w:rsid w:val="00CF0CAC"/>
    <w:rsid w:val="00CF0D25"/>
    <w:rsid w:val="00CF450E"/>
    <w:rsid w:val="00CF4C9B"/>
    <w:rsid w:val="00CF5D32"/>
    <w:rsid w:val="00D002F1"/>
    <w:rsid w:val="00D017B9"/>
    <w:rsid w:val="00D0201F"/>
    <w:rsid w:val="00D027CF"/>
    <w:rsid w:val="00D03274"/>
    <w:rsid w:val="00D0495B"/>
    <w:rsid w:val="00D07E0B"/>
    <w:rsid w:val="00D07FCB"/>
    <w:rsid w:val="00D11A0B"/>
    <w:rsid w:val="00D131B5"/>
    <w:rsid w:val="00D14573"/>
    <w:rsid w:val="00D151D0"/>
    <w:rsid w:val="00D15F40"/>
    <w:rsid w:val="00D2094C"/>
    <w:rsid w:val="00D22FF7"/>
    <w:rsid w:val="00D252D8"/>
    <w:rsid w:val="00D270B4"/>
    <w:rsid w:val="00D27DDD"/>
    <w:rsid w:val="00D3226F"/>
    <w:rsid w:val="00D33451"/>
    <w:rsid w:val="00D34ECF"/>
    <w:rsid w:val="00D359E6"/>
    <w:rsid w:val="00D40198"/>
    <w:rsid w:val="00D42F53"/>
    <w:rsid w:val="00D435E2"/>
    <w:rsid w:val="00D44A43"/>
    <w:rsid w:val="00D5000D"/>
    <w:rsid w:val="00D515B4"/>
    <w:rsid w:val="00D52839"/>
    <w:rsid w:val="00D53A6C"/>
    <w:rsid w:val="00D54FB5"/>
    <w:rsid w:val="00D55C52"/>
    <w:rsid w:val="00D56D18"/>
    <w:rsid w:val="00D621EA"/>
    <w:rsid w:val="00D62485"/>
    <w:rsid w:val="00D6776E"/>
    <w:rsid w:val="00D705D4"/>
    <w:rsid w:val="00D745D7"/>
    <w:rsid w:val="00D75D69"/>
    <w:rsid w:val="00D77276"/>
    <w:rsid w:val="00D77372"/>
    <w:rsid w:val="00D80A7E"/>
    <w:rsid w:val="00D81F56"/>
    <w:rsid w:val="00D84674"/>
    <w:rsid w:val="00D85CA3"/>
    <w:rsid w:val="00D85E9C"/>
    <w:rsid w:val="00D862A3"/>
    <w:rsid w:val="00D90A84"/>
    <w:rsid w:val="00D9172C"/>
    <w:rsid w:val="00D917DE"/>
    <w:rsid w:val="00D922D2"/>
    <w:rsid w:val="00D924B2"/>
    <w:rsid w:val="00D94141"/>
    <w:rsid w:val="00D94F08"/>
    <w:rsid w:val="00DA1818"/>
    <w:rsid w:val="00DA5A97"/>
    <w:rsid w:val="00DA79D9"/>
    <w:rsid w:val="00DB0102"/>
    <w:rsid w:val="00DB1BF5"/>
    <w:rsid w:val="00DB3EAA"/>
    <w:rsid w:val="00DB486D"/>
    <w:rsid w:val="00DB7969"/>
    <w:rsid w:val="00DB7F33"/>
    <w:rsid w:val="00DC38FF"/>
    <w:rsid w:val="00DC3C1F"/>
    <w:rsid w:val="00DC51D0"/>
    <w:rsid w:val="00DC6418"/>
    <w:rsid w:val="00DD39BA"/>
    <w:rsid w:val="00DD3E3E"/>
    <w:rsid w:val="00DD43B2"/>
    <w:rsid w:val="00DD60CD"/>
    <w:rsid w:val="00DD6B8A"/>
    <w:rsid w:val="00DD6DD4"/>
    <w:rsid w:val="00DE0396"/>
    <w:rsid w:val="00DE3DAD"/>
    <w:rsid w:val="00DF0B74"/>
    <w:rsid w:val="00DF19E0"/>
    <w:rsid w:val="00DF6EEA"/>
    <w:rsid w:val="00DF77C6"/>
    <w:rsid w:val="00E004F1"/>
    <w:rsid w:val="00E01110"/>
    <w:rsid w:val="00E01BA3"/>
    <w:rsid w:val="00E02695"/>
    <w:rsid w:val="00E032A3"/>
    <w:rsid w:val="00E04681"/>
    <w:rsid w:val="00E04E4A"/>
    <w:rsid w:val="00E11D72"/>
    <w:rsid w:val="00E11F52"/>
    <w:rsid w:val="00E1325E"/>
    <w:rsid w:val="00E13AB4"/>
    <w:rsid w:val="00E203FE"/>
    <w:rsid w:val="00E2235C"/>
    <w:rsid w:val="00E2271F"/>
    <w:rsid w:val="00E232A4"/>
    <w:rsid w:val="00E23D53"/>
    <w:rsid w:val="00E2593A"/>
    <w:rsid w:val="00E25D78"/>
    <w:rsid w:val="00E2620D"/>
    <w:rsid w:val="00E2636A"/>
    <w:rsid w:val="00E27867"/>
    <w:rsid w:val="00E3079E"/>
    <w:rsid w:val="00E3185F"/>
    <w:rsid w:val="00E370C7"/>
    <w:rsid w:val="00E37A82"/>
    <w:rsid w:val="00E406EF"/>
    <w:rsid w:val="00E42089"/>
    <w:rsid w:val="00E464BE"/>
    <w:rsid w:val="00E467EB"/>
    <w:rsid w:val="00E474DD"/>
    <w:rsid w:val="00E47752"/>
    <w:rsid w:val="00E51AFA"/>
    <w:rsid w:val="00E5636B"/>
    <w:rsid w:val="00E604D1"/>
    <w:rsid w:val="00E63CA0"/>
    <w:rsid w:val="00E65EAB"/>
    <w:rsid w:val="00E66D2F"/>
    <w:rsid w:val="00E716EA"/>
    <w:rsid w:val="00E73A4C"/>
    <w:rsid w:val="00E744E4"/>
    <w:rsid w:val="00E75517"/>
    <w:rsid w:val="00E81DFD"/>
    <w:rsid w:val="00E81E85"/>
    <w:rsid w:val="00E84481"/>
    <w:rsid w:val="00E84810"/>
    <w:rsid w:val="00E87F08"/>
    <w:rsid w:val="00E93B93"/>
    <w:rsid w:val="00E93DD8"/>
    <w:rsid w:val="00E94473"/>
    <w:rsid w:val="00E95139"/>
    <w:rsid w:val="00E95C0D"/>
    <w:rsid w:val="00E96937"/>
    <w:rsid w:val="00EA7360"/>
    <w:rsid w:val="00EB42F0"/>
    <w:rsid w:val="00EB7900"/>
    <w:rsid w:val="00EC2556"/>
    <w:rsid w:val="00EC2F77"/>
    <w:rsid w:val="00EC7A28"/>
    <w:rsid w:val="00ED1B92"/>
    <w:rsid w:val="00ED62A4"/>
    <w:rsid w:val="00ED6AFF"/>
    <w:rsid w:val="00EE0679"/>
    <w:rsid w:val="00EE07FE"/>
    <w:rsid w:val="00EE2B5A"/>
    <w:rsid w:val="00EE464E"/>
    <w:rsid w:val="00EE555C"/>
    <w:rsid w:val="00EF0DAB"/>
    <w:rsid w:val="00EF11E2"/>
    <w:rsid w:val="00EF4047"/>
    <w:rsid w:val="00EF7430"/>
    <w:rsid w:val="00F0082B"/>
    <w:rsid w:val="00F030FC"/>
    <w:rsid w:val="00F06D68"/>
    <w:rsid w:val="00F103BA"/>
    <w:rsid w:val="00F10E37"/>
    <w:rsid w:val="00F11729"/>
    <w:rsid w:val="00F13AAF"/>
    <w:rsid w:val="00F214CB"/>
    <w:rsid w:val="00F25621"/>
    <w:rsid w:val="00F304E4"/>
    <w:rsid w:val="00F31930"/>
    <w:rsid w:val="00F32487"/>
    <w:rsid w:val="00F32FA6"/>
    <w:rsid w:val="00F33ED7"/>
    <w:rsid w:val="00F3491F"/>
    <w:rsid w:val="00F35034"/>
    <w:rsid w:val="00F35F74"/>
    <w:rsid w:val="00F37A6A"/>
    <w:rsid w:val="00F412E4"/>
    <w:rsid w:val="00F44AD6"/>
    <w:rsid w:val="00F46D39"/>
    <w:rsid w:val="00F5325C"/>
    <w:rsid w:val="00F54E2E"/>
    <w:rsid w:val="00F56723"/>
    <w:rsid w:val="00F569DB"/>
    <w:rsid w:val="00F62F50"/>
    <w:rsid w:val="00F652A8"/>
    <w:rsid w:val="00F65A6F"/>
    <w:rsid w:val="00F65BD0"/>
    <w:rsid w:val="00F660F1"/>
    <w:rsid w:val="00F66D44"/>
    <w:rsid w:val="00F672DA"/>
    <w:rsid w:val="00F70BEE"/>
    <w:rsid w:val="00F71749"/>
    <w:rsid w:val="00F75E0A"/>
    <w:rsid w:val="00F7638E"/>
    <w:rsid w:val="00F80A94"/>
    <w:rsid w:val="00F814DB"/>
    <w:rsid w:val="00F82095"/>
    <w:rsid w:val="00F842D5"/>
    <w:rsid w:val="00F84554"/>
    <w:rsid w:val="00F86FF1"/>
    <w:rsid w:val="00F9135E"/>
    <w:rsid w:val="00F929E6"/>
    <w:rsid w:val="00F94CC4"/>
    <w:rsid w:val="00F95259"/>
    <w:rsid w:val="00F9589E"/>
    <w:rsid w:val="00FA267C"/>
    <w:rsid w:val="00FA3A29"/>
    <w:rsid w:val="00FA45CB"/>
    <w:rsid w:val="00FA4D01"/>
    <w:rsid w:val="00FA66DB"/>
    <w:rsid w:val="00FA66F8"/>
    <w:rsid w:val="00FB05AE"/>
    <w:rsid w:val="00FB543F"/>
    <w:rsid w:val="00FB5C1F"/>
    <w:rsid w:val="00FB5F18"/>
    <w:rsid w:val="00FB6F97"/>
    <w:rsid w:val="00FC61A7"/>
    <w:rsid w:val="00FD0187"/>
    <w:rsid w:val="00FD211C"/>
    <w:rsid w:val="00FD29D9"/>
    <w:rsid w:val="00FD373C"/>
    <w:rsid w:val="00FD5C54"/>
    <w:rsid w:val="00FD6364"/>
    <w:rsid w:val="00FD65B7"/>
    <w:rsid w:val="00FE0F23"/>
    <w:rsid w:val="00FE795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890941&amp;sub=1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CACE-6C30-4B58-89C0-E59AE6BC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Дуняшева Екатерина Дамировна</dc:creator>
  <cp:lastModifiedBy>Александра Леонидовна Первакова</cp:lastModifiedBy>
  <cp:revision>3</cp:revision>
  <cp:lastPrinted>2020-07-17T12:42:00Z</cp:lastPrinted>
  <dcterms:created xsi:type="dcterms:W3CDTF">2020-07-17T12:41:00Z</dcterms:created>
  <dcterms:modified xsi:type="dcterms:W3CDTF">2020-07-17T12:42:00Z</dcterms:modified>
</cp:coreProperties>
</file>