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EF1653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F165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10 марта 2016 года </w:t>
      </w:r>
      <w:r w:rsidR="0043098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EF1653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 w:rsidR="004309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F1653">
        <w:rPr>
          <w:rFonts w:ascii="Times New Roman" w:hAnsi="Times New Roman" w:cs="Times New Roman"/>
          <w:b/>
          <w:bCs/>
          <w:sz w:val="28"/>
          <w:szCs w:val="28"/>
        </w:rPr>
        <w:t>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</w:t>
      </w:r>
      <w:r w:rsidR="004309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приказываю:</w:t>
      </w:r>
    </w:p>
    <w:p w:rsid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B29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 xml:space="preserve">Внести в приказ Комитета правопорядка и безопасности Ленинградской области от 10 марта 2016 года </w:t>
      </w:r>
      <w:r w:rsidR="0043098B">
        <w:rPr>
          <w:rFonts w:ascii="Times New Roman" w:hAnsi="Times New Roman" w:cs="Times New Roman"/>
          <w:sz w:val="28"/>
          <w:szCs w:val="28"/>
        </w:rPr>
        <w:t>№</w:t>
      </w:r>
      <w:r w:rsidRPr="00EF1653">
        <w:rPr>
          <w:rFonts w:ascii="Times New Roman" w:hAnsi="Times New Roman" w:cs="Times New Roman"/>
          <w:sz w:val="28"/>
          <w:szCs w:val="28"/>
        </w:rPr>
        <w:t xml:space="preserve"> 5 </w:t>
      </w:r>
      <w:r w:rsidR="0043098B">
        <w:rPr>
          <w:rFonts w:ascii="Times New Roman" w:hAnsi="Times New Roman" w:cs="Times New Roman"/>
          <w:sz w:val="28"/>
          <w:szCs w:val="28"/>
        </w:rPr>
        <w:t>«</w:t>
      </w:r>
      <w:r w:rsidRPr="00EF1653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</w:t>
      </w:r>
      <w:r w:rsidR="0043098B">
        <w:rPr>
          <w:rFonts w:ascii="Times New Roman" w:hAnsi="Times New Roman" w:cs="Times New Roman"/>
          <w:sz w:val="28"/>
          <w:szCs w:val="28"/>
        </w:rPr>
        <w:t>»</w:t>
      </w:r>
      <w:r w:rsidRPr="00EF16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1653" w:rsidRPr="00987B29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653" w:rsidRDefault="00987B29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B29">
        <w:rPr>
          <w:rFonts w:ascii="Times New Roman" w:hAnsi="Times New Roman" w:cs="Times New Roman"/>
          <w:sz w:val="28"/>
          <w:szCs w:val="28"/>
        </w:rPr>
        <w:t xml:space="preserve">1. 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r w:rsidR="00EF1653">
        <w:rPr>
          <w:rFonts w:ascii="Times New Roman" w:hAnsi="Times New Roman" w:cs="Times New Roman"/>
          <w:sz w:val="28"/>
          <w:szCs w:val="28"/>
        </w:rPr>
        <w:t xml:space="preserve">Изложить преамбулу приказа в следующей редакции: </w:t>
      </w:r>
    </w:p>
    <w:p w:rsidR="00987B29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1653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EF165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F1653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приказываю: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B29" w:rsidRPr="00987B29">
        <w:rPr>
          <w:rFonts w:ascii="Times New Roman" w:hAnsi="Times New Roman" w:cs="Times New Roman"/>
          <w:sz w:val="28"/>
          <w:szCs w:val="28"/>
        </w:rPr>
        <w:t>.</w:t>
      </w:r>
    </w:p>
    <w:p w:rsid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804D5A">
        <w:rPr>
          <w:rFonts w:ascii="Times New Roman" w:hAnsi="Times New Roman" w:cs="Times New Roman"/>
          <w:sz w:val="28"/>
          <w:szCs w:val="28"/>
        </w:rPr>
        <w:t>4 приказа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1653">
        <w:rPr>
          <w:rFonts w:ascii="Times New Roman" w:hAnsi="Times New Roman" w:cs="Times New Roman"/>
          <w:sz w:val="28"/>
          <w:szCs w:val="28"/>
        </w:rPr>
        <w:t xml:space="preserve">4. Председателю Комиссии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Pr="00EF1653">
        <w:rPr>
          <w:rFonts w:ascii="Times New Roman" w:hAnsi="Times New Roman" w:cs="Times New Roman"/>
          <w:sz w:val="28"/>
          <w:szCs w:val="28"/>
        </w:rPr>
        <w:t xml:space="preserve"> до 20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>месяцем</w:t>
      </w:r>
      <w:r w:rsidRPr="00EF165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F1653">
        <w:rPr>
          <w:rFonts w:ascii="Times New Roman" w:hAnsi="Times New Roman" w:cs="Times New Roman"/>
          <w:sz w:val="28"/>
          <w:szCs w:val="28"/>
        </w:rPr>
        <w:t>), и ежегодно до 20 числа месяца, завершающего отчетный финансовый год</w:t>
      </w:r>
      <w:proofErr w:type="gramStart"/>
      <w:r w:rsidRPr="00EF1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653" w:rsidRDefault="00EF1653" w:rsidP="0080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приложении 2 (П</w:t>
      </w:r>
      <w:r w:rsidRPr="00EF1653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53">
        <w:rPr>
          <w:rFonts w:ascii="Times New Roman" w:hAnsi="Times New Roman" w:cs="Times New Roman"/>
          <w:sz w:val="28"/>
          <w:szCs w:val="28"/>
        </w:rPr>
        <w:t>о комиссии по оценке выполнения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53">
        <w:rPr>
          <w:rFonts w:ascii="Times New Roman" w:hAnsi="Times New Roman" w:cs="Times New Roman"/>
          <w:sz w:val="28"/>
          <w:szCs w:val="28"/>
        </w:rPr>
        <w:t>эффективности и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53">
        <w:rPr>
          <w:rFonts w:ascii="Times New Roman" w:hAnsi="Times New Roman" w:cs="Times New Roman"/>
          <w:sz w:val="28"/>
          <w:szCs w:val="28"/>
        </w:rPr>
        <w:t xml:space="preserve">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F1653">
        <w:rPr>
          <w:rFonts w:ascii="Times New Roman" w:hAnsi="Times New Roman" w:cs="Times New Roman"/>
          <w:sz w:val="28"/>
          <w:szCs w:val="28"/>
        </w:rPr>
        <w:t>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53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1653">
        <w:rPr>
          <w:rFonts w:ascii="Times New Roman" w:hAnsi="Times New Roman" w:cs="Times New Roman"/>
          <w:sz w:val="28"/>
          <w:szCs w:val="28"/>
        </w:rPr>
        <w:t>омитета 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F1653">
        <w:rPr>
          <w:rFonts w:ascii="Times New Roman" w:hAnsi="Times New Roman" w:cs="Times New Roman"/>
          <w:sz w:val="28"/>
          <w:szCs w:val="28"/>
        </w:rPr>
        <w:t>енинградской области, и установлению размеров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53">
        <w:rPr>
          <w:rFonts w:ascii="Times New Roman" w:hAnsi="Times New Roman" w:cs="Times New Roman"/>
          <w:sz w:val="28"/>
          <w:szCs w:val="28"/>
        </w:rPr>
        <w:t>стимулирующих выплат их руководителям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165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руководствуется: </w:t>
      </w:r>
      <w:proofErr w:type="gramStart"/>
      <w:r w:rsidRPr="00EF1653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="00540DE1" w:rsidRPr="00540DE1">
        <w:rPr>
          <w:rFonts w:ascii="Times New Roman" w:hAnsi="Times New Roman" w:cs="Times New Roman"/>
          <w:sz w:val="28"/>
          <w:szCs w:val="28"/>
        </w:rPr>
        <w:t>областн</w:t>
      </w:r>
      <w:r w:rsidR="00540DE1">
        <w:rPr>
          <w:rFonts w:ascii="Times New Roman" w:hAnsi="Times New Roman" w:cs="Times New Roman"/>
          <w:sz w:val="28"/>
          <w:szCs w:val="28"/>
        </w:rPr>
        <w:t>ым</w:t>
      </w:r>
      <w:r w:rsidR="00540DE1" w:rsidRPr="00540DE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40DE1">
        <w:rPr>
          <w:rFonts w:ascii="Times New Roman" w:hAnsi="Times New Roman" w:cs="Times New Roman"/>
          <w:sz w:val="28"/>
          <w:szCs w:val="28"/>
        </w:rPr>
        <w:t>ом</w:t>
      </w:r>
      <w:r w:rsidR="00540DE1" w:rsidRPr="00540DE1">
        <w:rPr>
          <w:rFonts w:ascii="Times New Roman" w:hAnsi="Times New Roman" w:cs="Times New Roman"/>
          <w:sz w:val="28"/>
          <w:szCs w:val="28"/>
        </w:rPr>
        <w:t xml:space="preserve"> от 20 декабря 2019 года </w:t>
      </w:r>
      <w:r w:rsidR="00540DE1">
        <w:rPr>
          <w:rFonts w:ascii="Times New Roman" w:hAnsi="Times New Roman" w:cs="Times New Roman"/>
          <w:sz w:val="28"/>
          <w:szCs w:val="28"/>
        </w:rPr>
        <w:t>№</w:t>
      </w:r>
      <w:r w:rsidR="00540DE1" w:rsidRPr="00540DE1">
        <w:rPr>
          <w:rFonts w:ascii="Times New Roman" w:hAnsi="Times New Roman" w:cs="Times New Roman"/>
          <w:sz w:val="28"/>
          <w:szCs w:val="28"/>
        </w:rPr>
        <w:t xml:space="preserve"> 103-оз </w:t>
      </w:r>
      <w:r w:rsidR="00540DE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40DE1" w:rsidRPr="00540DE1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Ленинградской области</w:t>
      </w:r>
      <w:r w:rsidR="00540DE1">
        <w:rPr>
          <w:rFonts w:ascii="Times New Roman" w:hAnsi="Times New Roman" w:cs="Times New Roman"/>
          <w:sz w:val="28"/>
          <w:szCs w:val="28"/>
        </w:rPr>
        <w:t>»</w:t>
      </w:r>
      <w:r w:rsidRPr="00EF1653">
        <w:rPr>
          <w:rFonts w:ascii="Times New Roman" w:hAnsi="Times New Roman" w:cs="Times New Roman"/>
          <w:sz w:val="28"/>
          <w:szCs w:val="28"/>
        </w:rPr>
        <w:t xml:space="preserve">, </w:t>
      </w:r>
      <w:r w:rsidR="00540DE1" w:rsidRPr="00540DE1">
        <w:rPr>
          <w:rFonts w:ascii="Times New Roman" w:hAnsi="Times New Roman" w:cs="Times New Roman"/>
          <w:sz w:val="28"/>
          <w:szCs w:val="28"/>
        </w:rPr>
        <w:t>постановлени</w:t>
      </w:r>
      <w:r w:rsidR="00540DE1">
        <w:rPr>
          <w:rFonts w:ascii="Times New Roman" w:hAnsi="Times New Roman" w:cs="Times New Roman"/>
          <w:sz w:val="28"/>
          <w:szCs w:val="28"/>
        </w:rPr>
        <w:t>ем</w:t>
      </w:r>
      <w:r w:rsidR="00540DE1" w:rsidRPr="00540DE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Pr="00EF1653">
        <w:rPr>
          <w:rFonts w:ascii="Times New Roman" w:hAnsi="Times New Roman" w:cs="Times New Roman"/>
          <w:sz w:val="28"/>
          <w:szCs w:val="28"/>
        </w:rPr>
        <w:t xml:space="preserve"> и настоящим</w:t>
      </w:r>
      <w:proofErr w:type="gramEnd"/>
      <w:r w:rsidRPr="00EF1653">
        <w:rPr>
          <w:rFonts w:ascii="Times New Roman" w:hAnsi="Times New Roman" w:cs="Times New Roman"/>
          <w:sz w:val="28"/>
          <w:szCs w:val="28"/>
        </w:rPr>
        <w:t xml:space="preserve"> приказом</w:t>
      </w:r>
      <w:proofErr w:type="gramStart"/>
      <w:r w:rsidRPr="00EF1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D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DE1" w:rsidRDefault="00804D5A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04D5A">
        <w:rPr>
          <w:rFonts w:ascii="Times New Roman" w:hAnsi="Times New Roman" w:cs="Times New Roman"/>
          <w:sz w:val="28"/>
          <w:szCs w:val="28"/>
        </w:rPr>
        <w:t>риложение 3 (Положение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премирования)</w:t>
      </w:r>
      <w:r w:rsidRPr="00804D5A">
        <w:t xml:space="preserve"> </w:t>
      </w:r>
      <w:r w:rsidRPr="00804D5A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022241" w:rsidRDefault="00804D5A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241">
        <w:rPr>
          <w:rFonts w:ascii="Times New Roman" w:hAnsi="Times New Roman" w:cs="Times New Roman"/>
          <w:sz w:val="28"/>
          <w:szCs w:val="28"/>
        </w:rPr>
        <w:t>.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r w:rsidR="00022241" w:rsidRPr="00022241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AF3F48" w:rsidRPr="00883D10" w:rsidRDefault="00804D5A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834" w:rsidRDefault="005300F5" w:rsidP="0025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883D10">
        <w:rPr>
          <w:rFonts w:ascii="Times New Roman" w:hAnsi="Times New Roman" w:cs="Times New Roman"/>
          <w:sz w:val="28"/>
          <w:szCs w:val="28"/>
        </w:rPr>
        <w:t>А.Степин</w:t>
      </w:r>
      <w:proofErr w:type="spellEnd"/>
    </w:p>
    <w:p w:rsidR="00542834" w:rsidRDefault="0054283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УТВЕРЖДЕНО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от 10.03.2016 N 5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приказа</w:t>
      </w:r>
      <w:proofErr w:type="gramEnd"/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от___________20__г. №_______)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249F" w:rsidRDefault="004A249F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5A">
        <w:rPr>
          <w:rFonts w:ascii="Times New Roman" w:hAnsi="Times New Roman" w:cs="Times New Roman"/>
          <w:b/>
          <w:sz w:val="28"/>
          <w:szCs w:val="28"/>
        </w:rPr>
        <w:t>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</w:t>
      </w:r>
    </w:p>
    <w:p w:rsidR="004A249F" w:rsidRPr="004A249F" w:rsidRDefault="004A249F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9F" w:rsidRPr="004A249F" w:rsidRDefault="004A249F" w:rsidP="004A24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249F" w:rsidRPr="004A249F" w:rsidRDefault="004A249F" w:rsidP="004A2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F" w:rsidRPr="004A249F" w:rsidRDefault="004A249F" w:rsidP="004A249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4A249F">
        <w:rPr>
          <w:rFonts w:ascii="Times New Roman" w:eastAsia="Times New Roman" w:hAnsi="Times New Roman" w:cs="Times New Roman"/>
          <w:sz w:val="26"/>
          <w:szCs w:val="26"/>
        </w:rPr>
        <w:t>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</w:t>
      </w:r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- Положение, учреждение, Комитет) разработано в соответствии с Трудовым кодексом Российской Федерации, областным законом Ленинградской области от 20.12.2019 № 103-оз «Об оплате труда работников государственных учреждений Ленинградской области», постановлением Правительства Ленинградской области от 30 апреля 2020</w:t>
      </w:r>
      <w:proofErr w:type="gramEnd"/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A249F">
        <w:rPr>
          <w:rFonts w:ascii="Times New Roman" w:eastAsia="Times New Roman" w:hAnsi="Times New Roman" w:cs="Times New Roman"/>
          <w:sz w:val="28"/>
          <w:szCs w:val="28"/>
        </w:rPr>
        <w:br/>
        <w:t xml:space="preserve">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4A249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области».</w:t>
      </w:r>
    </w:p>
    <w:p w:rsidR="004A249F" w:rsidRPr="004A249F" w:rsidRDefault="004A249F" w:rsidP="004A249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виды, условия, порядок  и размеры стимулирующих выплат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руководителям учреждений</w:t>
      </w:r>
      <w:r w:rsidR="00054F95" w:rsidRPr="00054F95">
        <w:rPr>
          <w:rFonts w:ascii="Times New Roman" w:eastAsia="Times New Roman" w:hAnsi="Times New Roman" w:cs="Times New Roman"/>
          <w:sz w:val="28"/>
          <w:szCs w:val="28"/>
        </w:rPr>
        <w:t>, находящихся в ведении Комитета</w:t>
      </w:r>
      <w:r w:rsidRPr="004A2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49F" w:rsidRPr="004A249F" w:rsidRDefault="004A249F" w:rsidP="004A249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областном законе от 20 декабря 2020 года № </w:t>
      </w:r>
      <w:r w:rsidR="00054F9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A249F">
        <w:rPr>
          <w:rFonts w:ascii="Times New Roman" w:eastAsia="Times New Roman" w:hAnsi="Times New Roman" w:cs="Times New Roman"/>
          <w:sz w:val="28"/>
          <w:szCs w:val="28"/>
        </w:rPr>
        <w:t xml:space="preserve">З-оз «Об оплате труда работников государственных учреждений Ленинградской </w:t>
      </w:r>
      <w:r w:rsidRPr="004A249F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области».</w:t>
      </w:r>
      <w:proofErr w:type="gramEnd"/>
    </w:p>
    <w:p w:rsidR="004A249F" w:rsidRDefault="004A249F" w:rsidP="004A249F">
      <w:pPr>
        <w:pStyle w:val="31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4A249F" w:rsidRDefault="004A249F" w:rsidP="004A249F">
      <w:pPr>
        <w:pStyle w:val="31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Виды и размеры стимулирующих выплат</w:t>
      </w:r>
    </w:p>
    <w:p w:rsidR="004A249F" w:rsidRDefault="004A249F" w:rsidP="004A249F">
      <w:pPr>
        <w:pStyle w:val="31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054F95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учреждени</w:t>
      </w:r>
      <w:r w:rsidR="00054F95">
        <w:rPr>
          <w:sz w:val="28"/>
          <w:szCs w:val="28"/>
        </w:rPr>
        <w:t>й</w:t>
      </w:r>
      <w:r>
        <w:rPr>
          <w:sz w:val="28"/>
          <w:szCs w:val="28"/>
        </w:rPr>
        <w:t xml:space="preserve"> устанавливаются следующие виды стимулирующих выплат:</w:t>
      </w:r>
    </w:p>
    <w:p w:rsidR="004A249F" w:rsidRDefault="004A249F" w:rsidP="004A249F">
      <w:pPr>
        <w:pStyle w:val="31"/>
        <w:shd w:val="clear" w:color="auto" w:fill="auto"/>
        <w:tabs>
          <w:tab w:val="left" w:pos="115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премиальные выплаты по итогам работы за месяц;</w:t>
      </w:r>
    </w:p>
    <w:p w:rsidR="004A249F" w:rsidRDefault="004A249F" w:rsidP="004A249F">
      <w:pPr>
        <w:pStyle w:val="31"/>
        <w:shd w:val="clear" w:color="auto" w:fill="auto"/>
        <w:tabs>
          <w:tab w:val="left" w:pos="1184"/>
        </w:tabs>
        <w:spacing w:before="0" w:after="0"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премиальные выплаты за выполнение особо важных (срочных) работ;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премиальные выплаты к значимым датам (событиям).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proofErr w:type="gramStart"/>
      <w:r>
        <w:rPr>
          <w:sz w:val="28"/>
          <w:szCs w:val="28"/>
        </w:rPr>
        <w:t xml:space="preserve">Установление </w:t>
      </w:r>
      <w:r w:rsidR="00054F95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учреждени</w:t>
      </w:r>
      <w:r w:rsidR="00054F95">
        <w:rPr>
          <w:sz w:val="28"/>
          <w:szCs w:val="28"/>
        </w:rPr>
        <w:t>й</w:t>
      </w:r>
      <w:r>
        <w:rPr>
          <w:sz w:val="28"/>
          <w:szCs w:val="28"/>
        </w:rPr>
        <w:t xml:space="preserve"> иных стимулирующих выплат, кроме перечисленных в пункте 2.1. настоящего Положения не допускается.</w:t>
      </w:r>
      <w:proofErr w:type="gramEnd"/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Размер премиальных выплат по итогам работы определяется на основе показателей эффективности и результативности деятельности учреждения и (или) критериев оценки деятельности учреждения  (далее — КПЭ, критерии оценки деятельности).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КПЭ и (или) критериев оценки деятельности устанавливаются в разрезе основных направлений деятельности, определенных уставом учреждения.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целях определения размера премиальных выплат по итогам работы устанавливается базовый размер премиальных выплат по итогам работы учреждения, определяемый в процентном отношении к сумме должностного оклада и выплат по повышающим коэффициентам к должностному окладу (далее - </w:t>
      </w:r>
      <w:proofErr w:type="spellStart"/>
      <w:r>
        <w:rPr>
          <w:sz w:val="28"/>
          <w:szCs w:val="28"/>
        </w:rPr>
        <w:t>окладно</w:t>
      </w:r>
      <w:proofErr w:type="spellEnd"/>
      <w:r>
        <w:rPr>
          <w:sz w:val="28"/>
          <w:szCs w:val="28"/>
        </w:rPr>
        <w:t>-ставочная часть заработной платы).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размер премиальных выплат по итогам работы учреждения соответствует стопроцентному достижению всех плановых значений КПЭ и (или) критериев оценки деятельности. </w:t>
      </w:r>
      <w:r w:rsidRPr="00054F95">
        <w:rPr>
          <w:sz w:val="28"/>
          <w:szCs w:val="28"/>
          <w:highlight w:val="yellow"/>
        </w:rPr>
        <w:t xml:space="preserve">Максимальный размер премиальных выплат по итогам работы учреждения составляет 50%  </w:t>
      </w:r>
      <w:proofErr w:type="spellStart"/>
      <w:r w:rsidRPr="00054F95">
        <w:rPr>
          <w:sz w:val="28"/>
          <w:szCs w:val="28"/>
          <w:highlight w:val="yellow"/>
        </w:rPr>
        <w:t>окладно</w:t>
      </w:r>
      <w:proofErr w:type="spellEnd"/>
      <w:r w:rsidRPr="00054F95">
        <w:rPr>
          <w:sz w:val="28"/>
          <w:szCs w:val="28"/>
          <w:highlight w:val="yellow"/>
        </w:rPr>
        <w:t>-ставочной части заработной платы.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планового значения КПЭ, критерия оценки деятельности размер премии подлежит сокращению на соответствующий процент стимулирующей выплаты, установленный для конкретного планового значения КПЭ, критерия оценки деятельности.</w:t>
      </w:r>
      <w:r>
        <w:rPr>
          <w:sz w:val="28"/>
          <w:szCs w:val="28"/>
        </w:rPr>
        <w:tab/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054F95">
        <w:rPr>
          <w:sz w:val="28"/>
          <w:szCs w:val="28"/>
          <w:highlight w:val="yellow"/>
        </w:rPr>
        <w:t xml:space="preserve">В случаях, когда превышение планового значения КПЭ, критерия оценки деятельности </w:t>
      </w:r>
      <w:proofErr w:type="gramStart"/>
      <w:r w:rsidRPr="00054F95">
        <w:rPr>
          <w:sz w:val="28"/>
          <w:szCs w:val="28"/>
          <w:highlight w:val="yellow"/>
        </w:rPr>
        <w:t>имеет высокую значимость размер премиальных выплат подлежит</w:t>
      </w:r>
      <w:proofErr w:type="gramEnd"/>
      <w:r w:rsidRPr="00054F95">
        <w:rPr>
          <w:sz w:val="28"/>
          <w:szCs w:val="28"/>
          <w:highlight w:val="yellow"/>
        </w:rPr>
        <w:t xml:space="preserve"> увеличению пропорционально размеру, на который  превышено плановое значение КПЭ, критерий оценки деятельности, от соответствующего  установленного процента премии для конкретного планового значения КПЭ, критерия оценки деятельности.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left="709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2.6. Виды премиальных выплат к значимым датам (событиям):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профессиональным праздникам;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юбилейным датам (50 лет со дня рождения и каждые последующие 5 лет);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премиальных выплат к профессиональным праздникам, юбилейным датам определяется с учетом профессиональных достижений </w:t>
      </w:r>
      <w:r w:rsidR="00054F95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 Суммарный по учреждению объем премиальных выплат к значимым датам (событиям) не может превышать 2 процента фонда оплаты труда учреждения в целом за календарный год.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710AC" w:rsidRPr="000710AC">
        <w:rPr>
          <w:sz w:val="28"/>
          <w:szCs w:val="28"/>
        </w:rPr>
        <w:t>Премия руководителю учреждения не начисляется и не выплачивается в следую</w:t>
      </w:r>
      <w:r w:rsidR="000710AC">
        <w:rPr>
          <w:sz w:val="28"/>
          <w:szCs w:val="28"/>
        </w:rPr>
        <w:t>щих случаях</w:t>
      </w:r>
      <w:r>
        <w:rPr>
          <w:sz w:val="28"/>
          <w:szCs w:val="28"/>
        </w:rPr>
        <w:t>:</w:t>
      </w:r>
    </w:p>
    <w:p w:rsidR="00054F95" w:rsidRDefault="00054F95" w:rsidP="0078607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</w:t>
      </w:r>
      <w:r w:rsidR="00720A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отчетный период;</w:t>
      </w:r>
    </w:p>
    <w:p w:rsidR="00054F95" w:rsidRDefault="00054F95" w:rsidP="0078607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</w:t>
      </w:r>
      <w:r w:rsidR="00720A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 к административной, уголовной или гражданско-правовой ответственности в отчетном периоде, связанной с исполнением руководителем учреждения своих должностных обязанностей;</w:t>
      </w:r>
    </w:p>
    <w:p w:rsidR="00054F95" w:rsidRDefault="00054F95" w:rsidP="0078607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</w:t>
      </w:r>
      <w:r w:rsidR="00720A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своими действиями или бездействием прямого материального ущерба учреждению;</w:t>
      </w:r>
    </w:p>
    <w:p w:rsidR="00054F95" w:rsidRDefault="00054F95" w:rsidP="0078607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</w:t>
      </w:r>
      <w:r w:rsidR="00720A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бюджетных средств;</w:t>
      </w:r>
    </w:p>
    <w:p w:rsidR="00054F95" w:rsidRDefault="00054F95" w:rsidP="0078607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законодательства Российской Федерации о контрактной системе в сфере закупок товаров, работ, услуг;</w:t>
      </w:r>
    </w:p>
    <w:p w:rsidR="00054F95" w:rsidRDefault="00054F95" w:rsidP="0078607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</w:t>
      </w:r>
      <w:r w:rsidR="00720A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задания в полном объеме.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</w:p>
    <w:p w:rsidR="004A249F" w:rsidRDefault="004A249F" w:rsidP="004A249F">
      <w:pPr>
        <w:pStyle w:val="31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Порядок установления стимулирующих выплат </w:t>
      </w:r>
    </w:p>
    <w:p w:rsidR="004A249F" w:rsidRDefault="004A249F" w:rsidP="004A249F">
      <w:pPr>
        <w:pStyle w:val="31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учреждения</w:t>
      </w:r>
    </w:p>
    <w:p w:rsidR="004A249F" w:rsidRDefault="004A249F" w:rsidP="004A249F">
      <w:pPr>
        <w:pStyle w:val="31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</w:p>
    <w:p w:rsidR="00054F95" w:rsidRDefault="00054F95" w:rsidP="00054F95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Премиальные выплаты </w:t>
      </w:r>
      <w:r w:rsidR="000710AC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учреждения осуществляются по итогам работы учреждения на основании подведенных итогов работы за месяц.</w:t>
      </w:r>
    </w:p>
    <w:p w:rsidR="00054F95" w:rsidRDefault="00054F95" w:rsidP="00054F95">
      <w:pPr>
        <w:pStyle w:val="3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Итоги работы учреждения подводятся на основании оценки фактического достижения плановых значений КПЭ, критериев оценки деятельности, применяемых для определения размера премиальных выплат по итогам работы, установленных нормативным правовым актом </w:t>
      </w:r>
      <w:r w:rsidR="000710AC">
        <w:rPr>
          <w:sz w:val="28"/>
          <w:szCs w:val="28"/>
        </w:rPr>
        <w:t>К</w:t>
      </w:r>
      <w:r>
        <w:rPr>
          <w:sz w:val="28"/>
          <w:szCs w:val="28"/>
        </w:rPr>
        <w:t>омитета.</w:t>
      </w:r>
    </w:p>
    <w:p w:rsidR="00054F95" w:rsidRDefault="00054F95" w:rsidP="00054F95">
      <w:pPr>
        <w:pStyle w:val="31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Размеры стимулирующих выплат </w:t>
      </w:r>
      <w:r w:rsidR="0078607E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учреждения устанавливаются распоряжениями комитета.</w:t>
      </w:r>
    </w:p>
    <w:p w:rsidR="004A249F" w:rsidRPr="00804D5A" w:rsidRDefault="004A249F" w:rsidP="00054F95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</w:rPr>
      </w:pPr>
    </w:p>
    <w:sectPr w:rsidR="004A249F" w:rsidRPr="00804D5A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98" w:rsidRDefault="00A20498" w:rsidP="0096545B">
      <w:pPr>
        <w:spacing w:after="0" w:line="240" w:lineRule="auto"/>
      </w:pPr>
      <w:r>
        <w:separator/>
      </w:r>
    </w:p>
  </w:endnote>
  <w:endnote w:type="continuationSeparator" w:id="0">
    <w:p w:rsidR="00A20498" w:rsidRDefault="00A20498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98" w:rsidRDefault="00A20498" w:rsidP="0096545B">
      <w:pPr>
        <w:spacing w:after="0" w:line="240" w:lineRule="auto"/>
      </w:pPr>
      <w:r>
        <w:separator/>
      </w:r>
    </w:p>
  </w:footnote>
  <w:footnote w:type="continuationSeparator" w:id="0">
    <w:p w:rsidR="00A20498" w:rsidRDefault="00A20498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2241"/>
    <w:rsid w:val="0002646B"/>
    <w:rsid w:val="000332E6"/>
    <w:rsid w:val="00037B3A"/>
    <w:rsid w:val="00040C93"/>
    <w:rsid w:val="00043EAE"/>
    <w:rsid w:val="00054F95"/>
    <w:rsid w:val="00056DD2"/>
    <w:rsid w:val="00064A3A"/>
    <w:rsid w:val="00065C17"/>
    <w:rsid w:val="000710AC"/>
    <w:rsid w:val="000814D2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38D8"/>
    <w:rsid w:val="00237CFC"/>
    <w:rsid w:val="002412C2"/>
    <w:rsid w:val="00251678"/>
    <w:rsid w:val="002538B9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300E25"/>
    <w:rsid w:val="003156E0"/>
    <w:rsid w:val="00325503"/>
    <w:rsid w:val="00330A67"/>
    <w:rsid w:val="00331F17"/>
    <w:rsid w:val="00345D18"/>
    <w:rsid w:val="0034777E"/>
    <w:rsid w:val="0036241B"/>
    <w:rsid w:val="00380E77"/>
    <w:rsid w:val="003823D9"/>
    <w:rsid w:val="00383111"/>
    <w:rsid w:val="00385494"/>
    <w:rsid w:val="00387597"/>
    <w:rsid w:val="00391686"/>
    <w:rsid w:val="003921DD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098B"/>
    <w:rsid w:val="00431A35"/>
    <w:rsid w:val="0044191E"/>
    <w:rsid w:val="0044221E"/>
    <w:rsid w:val="00443220"/>
    <w:rsid w:val="0044347D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249F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400C3"/>
    <w:rsid w:val="00540DE1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5901"/>
    <w:rsid w:val="00696349"/>
    <w:rsid w:val="006A05DB"/>
    <w:rsid w:val="006B0D14"/>
    <w:rsid w:val="006B14E5"/>
    <w:rsid w:val="006B359D"/>
    <w:rsid w:val="006C4561"/>
    <w:rsid w:val="006C60BC"/>
    <w:rsid w:val="006E1EA7"/>
    <w:rsid w:val="006E2B01"/>
    <w:rsid w:val="00717AA9"/>
    <w:rsid w:val="00720A4D"/>
    <w:rsid w:val="00723409"/>
    <w:rsid w:val="007431D1"/>
    <w:rsid w:val="00745F3E"/>
    <w:rsid w:val="00752B34"/>
    <w:rsid w:val="00777DF4"/>
    <w:rsid w:val="00783B8A"/>
    <w:rsid w:val="0078607E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04D5A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87B29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286A"/>
    <w:rsid w:val="00A80385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653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DFFF-C0E6-47CD-ACB6-FC05E18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Андрей Сергеевич Кобяков</cp:lastModifiedBy>
  <cp:revision>69</cp:revision>
  <cp:lastPrinted>2020-02-06T09:54:00Z</cp:lastPrinted>
  <dcterms:created xsi:type="dcterms:W3CDTF">2016-07-05T10:52:00Z</dcterms:created>
  <dcterms:modified xsi:type="dcterms:W3CDTF">2020-06-23T11:33:00Z</dcterms:modified>
</cp:coreProperties>
</file>