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7E" w:rsidRPr="001B7992" w:rsidRDefault="007C317E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99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D5167" wp14:editId="00D8C3A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7C317E" w:rsidRPr="008641BB" w:rsidRDefault="007C317E" w:rsidP="007C317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" filled="f" fillcolor="#4f81bd [3204]" stroked="f" strokecolor="#243f60 [1604]" strokeweight="2pt">
                <v:textbox inset="0,0,0,0">
                  <w:txbxContent>
                    <w:p w:rsidR="007C317E" w:rsidRPr="008641BB" w:rsidRDefault="007C317E" w:rsidP="007C317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7C317E" w:rsidRPr="001B7992" w:rsidRDefault="007C317E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BD0A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приказу К</w:t>
      </w:r>
      <w:r w:rsidR="00C76308"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омитета экономического развития и инвестиционной деятельности</w:t>
      </w:r>
    </w:p>
    <w:p w:rsidR="007C317E" w:rsidRPr="001B7992" w:rsidRDefault="007C317E" w:rsidP="007C317E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7C317E" w:rsidRPr="001B7992" w:rsidRDefault="007C317E" w:rsidP="007C317E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«____»__________20</w:t>
      </w:r>
      <w:r w:rsidR="00645FAE"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___________</w:t>
      </w:r>
    </w:p>
    <w:p w:rsidR="007C317E" w:rsidRPr="001B7992" w:rsidRDefault="007C317E" w:rsidP="007C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17E" w:rsidRPr="001B7992" w:rsidRDefault="007C317E" w:rsidP="007C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17E" w:rsidRPr="001B7992" w:rsidRDefault="007C317E" w:rsidP="007C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</w:p>
    <w:p w:rsidR="00077542" w:rsidRPr="001B7992" w:rsidRDefault="007C317E" w:rsidP="000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вносятся в </w:t>
      </w:r>
    </w:p>
    <w:p w:rsidR="00077542" w:rsidRPr="001B7992" w:rsidRDefault="00077542" w:rsidP="000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Методические указания по разработке и реализации государственных программ Ленинградской области, утвержденные приказом </w:t>
      </w:r>
      <w:r w:rsidR="00A77B00"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омитета экономического развития и инвестиционной деятельности Ленинградской области</w:t>
      </w:r>
      <w:r w:rsidR="00FD2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13 июня 2013 года № </w:t>
      </w:r>
      <w:r w:rsidR="00030C68"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B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</w:p>
    <w:p w:rsidR="00077542" w:rsidRPr="001B7992" w:rsidRDefault="00077542" w:rsidP="0007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6E7C" w:rsidRPr="001B7992" w:rsidRDefault="00BB2440" w:rsidP="00EF6E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Pr="001B79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799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651756" w:rsidRPr="001B7992">
        <w:rPr>
          <w:rFonts w:ascii="Times New Roman" w:hAnsi="Times New Roman" w:cs="Times New Roman"/>
          <w:sz w:val="28"/>
          <w:szCs w:val="28"/>
        </w:rPr>
        <w:t xml:space="preserve"> 11 </w:t>
      </w:r>
      <w:r w:rsidRPr="001B799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50F39" w:rsidRPr="001B7992" w:rsidRDefault="00250F39" w:rsidP="00EF6E7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«11. Внесение изменений в государственную программу осуществляется путем подготовки проекта постановления Правительства Ленинградской области о внесении изменений в государственную программу в соответствии с пунктом 3.12</w:t>
      </w:r>
      <w:r w:rsidR="003910B8">
        <w:rPr>
          <w:rFonts w:ascii="Times New Roman" w:hAnsi="Times New Roman" w:cs="Times New Roman"/>
          <w:sz w:val="28"/>
          <w:szCs w:val="28"/>
        </w:rPr>
        <w:t>.</w:t>
      </w:r>
      <w:r w:rsidRPr="001B799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50F39" w:rsidRPr="001B7992" w:rsidRDefault="00250F39" w:rsidP="00250F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Внесение изменений в государственную программу путем изложения государственной программы в новой редакции не допускается, за исключением случаев, установленных Порядком.</w:t>
      </w:r>
    </w:p>
    <w:p w:rsidR="00250F39" w:rsidRPr="001B7992" w:rsidRDefault="00250F39" w:rsidP="00250F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Структурная единица государственной программы может быть изложена в новой редакции только в случае внесения существенных изменений.</w:t>
      </w:r>
    </w:p>
    <w:p w:rsidR="00250F39" w:rsidRPr="001B7992" w:rsidRDefault="00250F39" w:rsidP="00250F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Под существенными изменениями следует понимать изложение более 50% </w:t>
      </w:r>
      <w:r w:rsidR="006A6AC8" w:rsidRPr="001B7992">
        <w:rPr>
          <w:rFonts w:ascii="Times New Roman" w:hAnsi="Times New Roman" w:cs="Times New Roman"/>
          <w:sz w:val="28"/>
          <w:szCs w:val="28"/>
        </w:rPr>
        <w:t>структурной единицы</w:t>
      </w:r>
      <w:r w:rsidRPr="001B799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proofErr w:type="gramStart"/>
      <w:r w:rsidRPr="001B79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0679" w:rsidRPr="001B7992" w:rsidRDefault="009D2229" w:rsidP="002706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«е»</w:t>
      </w:r>
      <w:r w:rsidR="00270679" w:rsidRPr="001B7992">
        <w:rPr>
          <w:rFonts w:ascii="Times New Roman" w:hAnsi="Times New Roman" w:cs="Times New Roman"/>
          <w:sz w:val="28"/>
          <w:szCs w:val="28"/>
        </w:rPr>
        <w:t xml:space="preserve"> пункта 12 изложить в следующей редакции:</w:t>
      </w:r>
    </w:p>
    <w:p w:rsidR="00270679" w:rsidRPr="001B7992" w:rsidRDefault="00270679" w:rsidP="003B0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«е) приложения по форме таблиц 1 - 7 приложения 1 к Методическим указаниям</w:t>
      </w:r>
      <w:proofErr w:type="gramStart"/>
      <w:r w:rsidR="00250F39" w:rsidRPr="001B7992">
        <w:rPr>
          <w:rFonts w:ascii="Times New Roman" w:hAnsi="Times New Roman" w:cs="Times New Roman"/>
          <w:sz w:val="28"/>
          <w:szCs w:val="28"/>
        </w:rPr>
        <w:t>;</w:t>
      </w:r>
      <w:r w:rsidR="00A77B00" w:rsidRPr="001B799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13DF6" w:rsidRPr="001B7992" w:rsidRDefault="00513DF6" w:rsidP="00513D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Дополнить пункт 12 </w:t>
      </w:r>
      <w:r w:rsidR="00FF6BEC" w:rsidRPr="001B7992">
        <w:rPr>
          <w:rFonts w:ascii="Times New Roman" w:hAnsi="Times New Roman" w:cs="Times New Roman"/>
          <w:sz w:val="28"/>
          <w:szCs w:val="28"/>
        </w:rPr>
        <w:t>подпункт</w:t>
      </w:r>
      <w:r w:rsidR="00C45A09" w:rsidRPr="001B7992">
        <w:rPr>
          <w:rFonts w:ascii="Times New Roman" w:hAnsi="Times New Roman" w:cs="Times New Roman"/>
          <w:sz w:val="28"/>
          <w:szCs w:val="28"/>
        </w:rPr>
        <w:t>ами</w:t>
      </w:r>
      <w:r w:rsidRPr="001B799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5A09" w:rsidRPr="001B7992" w:rsidRDefault="00114F9C" w:rsidP="00513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«</w:t>
      </w:r>
      <w:r w:rsidR="00C45A09" w:rsidRPr="001B7992">
        <w:rPr>
          <w:rFonts w:ascii="Times New Roman" w:hAnsi="Times New Roman" w:cs="Times New Roman"/>
          <w:sz w:val="28"/>
          <w:szCs w:val="28"/>
        </w:rPr>
        <w:t>ж) сведения о фактических расходах на реализацию государственной программы;</w:t>
      </w:r>
    </w:p>
    <w:p w:rsidR="00C45A09" w:rsidRPr="001B7992" w:rsidRDefault="00C45A09" w:rsidP="00513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з</w:t>
      </w:r>
      <w:r w:rsidR="00513DF6" w:rsidRPr="001B7992">
        <w:rPr>
          <w:rFonts w:ascii="Times New Roman" w:hAnsi="Times New Roman" w:cs="Times New Roman"/>
          <w:sz w:val="28"/>
          <w:szCs w:val="28"/>
        </w:rPr>
        <w:t xml:space="preserve">) </w:t>
      </w:r>
      <w:r w:rsidR="004853B1" w:rsidRPr="001B7992">
        <w:rPr>
          <w:rFonts w:ascii="Times New Roman" w:hAnsi="Times New Roman" w:cs="Times New Roman"/>
          <w:sz w:val="28"/>
          <w:szCs w:val="28"/>
        </w:rPr>
        <w:t>порядки предоставления и распределения субсидий в рамках государственной программы</w:t>
      </w:r>
      <w:r w:rsidRPr="001B7992">
        <w:rPr>
          <w:rFonts w:ascii="Times New Roman" w:hAnsi="Times New Roman" w:cs="Times New Roman"/>
          <w:sz w:val="28"/>
          <w:szCs w:val="28"/>
        </w:rPr>
        <w:t>;</w:t>
      </w:r>
    </w:p>
    <w:p w:rsidR="00513DF6" w:rsidRPr="001B7992" w:rsidRDefault="00C45A09" w:rsidP="00513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и) информация о налоговых расходах, направленных на достижение цели государственной программы</w:t>
      </w:r>
      <w:proofErr w:type="gramStart"/>
      <w:r w:rsidRPr="001B7992">
        <w:rPr>
          <w:rFonts w:ascii="Times New Roman" w:hAnsi="Times New Roman" w:cs="Times New Roman"/>
          <w:sz w:val="28"/>
          <w:szCs w:val="28"/>
        </w:rPr>
        <w:t>.</w:t>
      </w:r>
      <w:r w:rsidR="00114F9C" w:rsidRPr="001B799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847D7" w:rsidRPr="001B7992" w:rsidRDefault="003847D7" w:rsidP="009C3A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Допо</w:t>
      </w:r>
      <w:r w:rsidR="009D2229">
        <w:rPr>
          <w:rFonts w:ascii="Times New Roman" w:hAnsi="Times New Roman" w:cs="Times New Roman"/>
          <w:sz w:val="28"/>
          <w:szCs w:val="28"/>
        </w:rPr>
        <w:t>лнить пунк</w:t>
      </w:r>
      <w:r w:rsidR="00F61DCD">
        <w:rPr>
          <w:rFonts w:ascii="Times New Roman" w:hAnsi="Times New Roman" w:cs="Times New Roman"/>
          <w:sz w:val="28"/>
          <w:szCs w:val="28"/>
        </w:rPr>
        <w:t>т 14 новыми абзацами одиннадцатым - шестнадцатым</w:t>
      </w:r>
      <w:r w:rsidRPr="001B799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0BC4" w:rsidRPr="001B7992" w:rsidRDefault="003847D7" w:rsidP="00BC0B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 </w:t>
      </w:r>
      <w:r w:rsidR="00BC0BC4" w:rsidRPr="001B7992">
        <w:rPr>
          <w:rFonts w:ascii="Times New Roman" w:hAnsi="Times New Roman" w:cs="Times New Roman"/>
          <w:sz w:val="28"/>
          <w:szCs w:val="28"/>
        </w:rPr>
        <w:t xml:space="preserve">«В графе </w:t>
      </w:r>
      <w:r w:rsidR="00DE571F" w:rsidRPr="001B7992">
        <w:rPr>
          <w:rFonts w:ascii="Times New Roman" w:hAnsi="Times New Roman" w:cs="Times New Roman"/>
          <w:sz w:val="28"/>
          <w:szCs w:val="28"/>
        </w:rPr>
        <w:t>«</w:t>
      </w:r>
      <w:r w:rsidR="00BC0BC4" w:rsidRPr="001B7992">
        <w:rPr>
          <w:rFonts w:ascii="Times New Roman" w:hAnsi="Times New Roman" w:cs="Times New Roman"/>
          <w:sz w:val="28"/>
          <w:szCs w:val="28"/>
        </w:rPr>
        <w:t>финансовое обеспечение государственной программы - всего, в том числе по годам реализации</w:t>
      </w:r>
      <w:r w:rsidR="00DE571F" w:rsidRPr="001B7992">
        <w:rPr>
          <w:rFonts w:ascii="Times New Roman" w:hAnsi="Times New Roman" w:cs="Times New Roman"/>
          <w:sz w:val="28"/>
          <w:szCs w:val="28"/>
        </w:rPr>
        <w:t>»</w:t>
      </w:r>
      <w:r w:rsidR="00BC0BC4" w:rsidRPr="001B7992">
        <w:rPr>
          <w:rFonts w:ascii="Times New Roman" w:hAnsi="Times New Roman" w:cs="Times New Roman"/>
          <w:sz w:val="28"/>
          <w:szCs w:val="28"/>
        </w:rPr>
        <w:t xml:space="preserve"> отражаются расходы на реализацию государственной программы как за весь период ее реализации, так и в разрезе каждого года ее реализации (без указания источников финансирования).</w:t>
      </w:r>
    </w:p>
    <w:p w:rsidR="00BC0BC4" w:rsidRPr="001B7992" w:rsidRDefault="00BC0BC4" w:rsidP="00BC0B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lastRenderedPageBreak/>
        <w:t>Для государственной программы в сфере совершенствования межбюджетных отношений в Ленинградской области</w:t>
      </w:r>
      <w:r w:rsidR="00325715" w:rsidRPr="001B7992">
        <w:rPr>
          <w:rFonts w:ascii="Times New Roman" w:hAnsi="Times New Roman" w:cs="Times New Roman"/>
          <w:sz w:val="28"/>
          <w:szCs w:val="28"/>
        </w:rPr>
        <w:t xml:space="preserve"> графа</w:t>
      </w:r>
      <w:r w:rsidRPr="001B7992">
        <w:rPr>
          <w:rFonts w:ascii="Times New Roman" w:hAnsi="Times New Roman" w:cs="Times New Roman"/>
          <w:sz w:val="28"/>
          <w:szCs w:val="28"/>
        </w:rPr>
        <w:t xml:space="preserve"> заполняется с учетом следующих особенностей.</w:t>
      </w:r>
    </w:p>
    <w:p w:rsidR="003E4C2C" w:rsidRPr="001B7992" w:rsidRDefault="00BC0BC4" w:rsidP="00BC0B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E571F" w:rsidRPr="001B7992">
        <w:rPr>
          <w:rFonts w:ascii="Times New Roman" w:hAnsi="Times New Roman" w:cs="Times New Roman"/>
          <w:sz w:val="28"/>
          <w:szCs w:val="28"/>
        </w:rPr>
        <w:t>«</w:t>
      </w:r>
      <w:r w:rsidR="003E4C2C" w:rsidRPr="001B7992">
        <w:rPr>
          <w:rFonts w:ascii="Times New Roman" w:hAnsi="Times New Roman" w:cs="Times New Roman"/>
          <w:sz w:val="28"/>
          <w:szCs w:val="28"/>
        </w:rPr>
        <w:t>финансовое обеспечение государственной программы - всего, в том числе по годам реализации</w:t>
      </w:r>
      <w:r w:rsidR="00DE571F" w:rsidRPr="001B7992">
        <w:rPr>
          <w:rFonts w:ascii="Times New Roman" w:hAnsi="Times New Roman" w:cs="Times New Roman"/>
          <w:sz w:val="28"/>
          <w:szCs w:val="28"/>
        </w:rPr>
        <w:t>»</w:t>
      </w:r>
      <w:r w:rsidRPr="001B7992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3E4C2C" w:rsidRPr="001B7992">
        <w:rPr>
          <w:rFonts w:ascii="Times New Roman" w:hAnsi="Times New Roman" w:cs="Times New Roman"/>
          <w:sz w:val="28"/>
          <w:szCs w:val="28"/>
        </w:rPr>
        <w:t>ю</w:t>
      </w:r>
      <w:r w:rsidRPr="001B7992">
        <w:rPr>
          <w:rFonts w:ascii="Times New Roman" w:hAnsi="Times New Roman" w:cs="Times New Roman"/>
          <w:sz w:val="28"/>
          <w:szCs w:val="28"/>
        </w:rPr>
        <w:t>тся</w:t>
      </w:r>
      <w:r w:rsidR="00325715" w:rsidRPr="001B7992">
        <w:t xml:space="preserve"> (</w:t>
      </w:r>
      <w:r w:rsidR="00325715" w:rsidRPr="001B7992">
        <w:rPr>
          <w:rFonts w:ascii="Times New Roman" w:hAnsi="Times New Roman" w:cs="Times New Roman"/>
          <w:sz w:val="28"/>
          <w:szCs w:val="28"/>
        </w:rPr>
        <w:t>как за весь период ее реализации, так и в разрезе каждого года ее реализации)</w:t>
      </w:r>
      <w:r w:rsidR="003E4C2C" w:rsidRPr="001B7992">
        <w:rPr>
          <w:rFonts w:ascii="Times New Roman" w:hAnsi="Times New Roman" w:cs="Times New Roman"/>
          <w:sz w:val="28"/>
          <w:szCs w:val="28"/>
        </w:rPr>
        <w:t>:</w:t>
      </w:r>
    </w:p>
    <w:p w:rsidR="007069F2" w:rsidRPr="001B7992" w:rsidRDefault="00BC0BC4" w:rsidP="003E4C2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с учетом </w:t>
      </w:r>
      <w:r w:rsidR="007069F2" w:rsidRPr="001B7992">
        <w:rPr>
          <w:rFonts w:ascii="Times New Roman" w:hAnsi="Times New Roman" w:cs="Times New Roman"/>
          <w:sz w:val="28"/>
          <w:szCs w:val="28"/>
        </w:rPr>
        <w:t>расчетных объемов дотаций (частей дотаций) на выравнивание бюджетной обеспеченности муниципальных районов (городских округов), замененных дополнительными нормативами отчислений от налога на доходы физических лиц</w:t>
      </w:r>
      <w:r w:rsidR="003E4C2C" w:rsidRPr="001B7992">
        <w:rPr>
          <w:rFonts w:ascii="Times New Roman" w:hAnsi="Times New Roman" w:cs="Times New Roman"/>
          <w:sz w:val="28"/>
          <w:szCs w:val="28"/>
        </w:rPr>
        <w:t>;</w:t>
      </w:r>
    </w:p>
    <w:p w:rsidR="003E4C2C" w:rsidRPr="001B7992" w:rsidRDefault="003E4C2C" w:rsidP="003E4C2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без учета расчетных объемов дотаций (частей дотаций) на выравнивание бюджетной обеспеченности </w:t>
      </w:r>
      <w:r w:rsidR="007C00EC">
        <w:rPr>
          <w:rFonts w:ascii="Times New Roman" w:hAnsi="Times New Roman" w:cs="Times New Roman"/>
          <w:sz w:val="28"/>
          <w:szCs w:val="28"/>
        </w:rPr>
        <w:t>муниципальных районов (городского округа</w:t>
      </w:r>
      <w:r w:rsidRPr="001B7992">
        <w:rPr>
          <w:rFonts w:ascii="Times New Roman" w:hAnsi="Times New Roman" w:cs="Times New Roman"/>
          <w:sz w:val="28"/>
          <w:szCs w:val="28"/>
        </w:rPr>
        <w:t>), замененных дополнительными нормативами отчислений от налога на доходы физических лиц;</w:t>
      </w:r>
    </w:p>
    <w:p w:rsidR="00BC0BC4" w:rsidRPr="001B7992" w:rsidRDefault="003E4C2C" w:rsidP="00DE571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расчетные объемы дотаций (частей дотаций) на выравнивание бюджетной обеспеченности </w:t>
      </w:r>
      <w:r w:rsidR="000F4415">
        <w:rPr>
          <w:rFonts w:ascii="Times New Roman" w:hAnsi="Times New Roman" w:cs="Times New Roman"/>
          <w:sz w:val="28"/>
          <w:szCs w:val="28"/>
        </w:rPr>
        <w:t>муниципальных районов (городского округа</w:t>
      </w:r>
      <w:r w:rsidRPr="001B7992">
        <w:rPr>
          <w:rFonts w:ascii="Times New Roman" w:hAnsi="Times New Roman" w:cs="Times New Roman"/>
          <w:sz w:val="28"/>
          <w:szCs w:val="28"/>
        </w:rPr>
        <w:t>), замененных дополнительными нормативами отчислений от налога на доходы физических лиц.</w:t>
      </w:r>
    </w:p>
    <w:p w:rsidR="003847D7" w:rsidRPr="001B7992" w:rsidRDefault="003571F5" w:rsidP="003847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– тринадцатый</w:t>
      </w:r>
      <w:r w:rsidR="007A2765">
        <w:rPr>
          <w:rFonts w:ascii="Times New Roman" w:hAnsi="Times New Roman" w:cs="Times New Roman"/>
          <w:sz w:val="28"/>
          <w:szCs w:val="28"/>
        </w:rPr>
        <w:t xml:space="preserve"> </w:t>
      </w:r>
      <w:r w:rsidR="00FF6BEC" w:rsidRPr="001B7992">
        <w:rPr>
          <w:rFonts w:ascii="Times New Roman" w:hAnsi="Times New Roman" w:cs="Times New Roman"/>
          <w:sz w:val="28"/>
          <w:szCs w:val="28"/>
        </w:rPr>
        <w:t xml:space="preserve"> пункта 14</w:t>
      </w:r>
      <w:r>
        <w:rPr>
          <w:rFonts w:ascii="Times New Roman" w:hAnsi="Times New Roman" w:cs="Times New Roman"/>
          <w:sz w:val="28"/>
          <w:szCs w:val="28"/>
        </w:rPr>
        <w:t xml:space="preserve"> считать абзацами семнадцатым – девятнадцатым</w:t>
      </w:r>
      <w:r w:rsidR="007A2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91F" w:rsidRPr="001B7992" w:rsidRDefault="00BA0A2C" w:rsidP="00EC57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 шестой </w:t>
      </w:r>
      <w:r w:rsidR="00077542" w:rsidRPr="001B7992">
        <w:rPr>
          <w:rFonts w:ascii="Times New Roman" w:hAnsi="Times New Roman" w:cs="Times New Roman"/>
          <w:sz w:val="28"/>
          <w:szCs w:val="28"/>
        </w:rPr>
        <w:t xml:space="preserve"> пункта 18.4</w:t>
      </w:r>
      <w:r w:rsidR="004C091F" w:rsidRPr="001B79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12A5" w:rsidRPr="001B7992" w:rsidRDefault="004C091F" w:rsidP="00B11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992">
        <w:rPr>
          <w:rFonts w:ascii="Times New Roman" w:hAnsi="Times New Roman" w:cs="Times New Roman"/>
          <w:sz w:val="28"/>
          <w:szCs w:val="28"/>
        </w:rPr>
        <w:t>«</w:t>
      </w:r>
      <w:r w:rsidR="00077542" w:rsidRPr="001B7992">
        <w:rPr>
          <w:rFonts w:ascii="Times New Roman" w:hAnsi="Times New Roman" w:cs="Times New Roman"/>
          <w:sz w:val="28"/>
          <w:szCs w:val="28"/>
        </w:rPr>
        <w:t>Независимо от способа включения регионального проекта в государственную программу, все региональные проекты с указанием объемов финансирования включаются в паспорта государственных программ (подпрограмм) и отражаются в таблице 1 "Структура государственной программы" (часть 2.</w:t>
      </w:r>
      <w:proofErr w:type="gramEnd"/>
      <w:r w:rsidR="00077542" w:rsidRPr="001B7992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970FE1" w:rsidRPr="001B7992">
        <w:rPr>
          <w:rFonts w:ascii="Times New Roman" w:hAnsi="Times New Roman" w:cs="Times New Roman"/>
          <w:sz w:val="28"/>
          <w:szCs w:val="28"/>
        </w:rPr>
        <w:t>проектов</w:t>
      </w:r>
      <w:r w:rsidR="00077542" w:rsidRPr="001B7992">
        <w:rPr>
          <w:rFonts w:ascii="Times New Roman" w:hAnsi="Times New Roman" w:cs="Times New Roman"/>
          <w:sz w:val="28"/>
          <w:szCs w:val="28"/>
        </w:rPr>
        <w:t>, включенных в государственную программу (проектная часть государственной программы)</w:t>
      </w:r>
      <w:proofErr w:type="gramStart"/>
      <w:r w:rsidR="001B6788" w:rsidRPr="001B7992">
        <w:rPr>
          <w:rFonts w:ascii="Times New Roman" w:hAnsi="Times New Roman" w:cs="Times New Roman"/>
          <w:sz w:val="28"/>
          <w:szCs w:val="28"/>
        </w:rPr>
        <w:t>.</w:t>
      </w:r>
      <w:r w:rsidR="00077542" w:rsidRPr="001B799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E2E47" w:rsidRPr="001B7992">
        <w:rPr>
          <w:rFonts w:ascii="Times New Roman" w:hAnsi="Times New Roman" w:cs="Times New Roman"/>
          <w:sz w:val="28"/>
          <w:szCs w:val="28"/>
        </w:rPr>
        <w:t>.</w:t>
      </w:r>
    </w:p>
    <w:p w:rsidR="00F00383" w:rsidRPr="001B7992" w:rsidRDefault="007A7211" w:rsidP="002243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</w:t>
      </w:r>
      <w:r w:rsidR="0022439D" w:rsidRPr="001B7992">
        <w:rPr>
          <w:rFonts w:ascii="Times New Roman" w:hAnsi="Times New Roman" w:cs="Times New Roman"/>
          <w:sz w:val="28"/>
          <w:szCs w:val="28"/>
        </w:rPr>
        <w:t xml:space="preserve"> пункта 19.2 </w:t>
      </w:r>
      <w:r w:rsidR="00F00383" w:rsidRPr="001B79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0383" w:rsidRPr="001B7992" w:rsidRDefault="00F00383" w:rsidP="006D2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992">
        <w:rPr>
          <w:rFonts w:ascii="Times New Roman" w:hAnsi="Times New Roman" w:cs="Times New Roman"/>
          <w:sz w:val="28"/>
          <w:szCs w:val="28"/>
        </w:rPr>
        <w:t>«Показатели государственной программы должны включать показатели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утвержденные указом Президента Российской Федерации от 25 апреля 2019 года N 193 (в соответствии с постановлением Правительства Ленинградской области от 19 ноября 2019 года N 538 «О мерах по реализации Указа Президента Российской</w:t>
      </w:r>
      <w:proofErr w:type="gramEnd"/>
      <w:r w:rsidRPr="001B7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992">
        <w:rPr>
          <w:rFonts w:ascii="Times New Roman" w:hAnsi="Times New Roman" w:cs="Times New Roman"/>
          <w:sz w:val="28"/>
          <w:szCs w:val="28"/>
        </w:rPr>
        <w:t>Федерации от 25 апреля 2019 года N 193…»),</w:t>
      </w:r>
      <w:r w:rsidR="006D2680" w:rsidRPr="001B7992">
        <w:rPr>
          <w:rFonts w:ascii="Times New Roman" w:hAnsi="Times New Roman" w:cs="Times New Roman"/>
          <w:sz w:val="28"/>
          <w:szCs w:val="28"/>
        </w:rPr>
        <w:t xml:space="preserve"> показатели, установленные указом Президента Российской Федерации от 7 мая 2018 года N 204,</w:t>
      </w:r>
      <w:r w:rsidR="001B4243" w:rsidRPr="001B7992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4D3474" w:rsidRPr="001B7992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 Ленинградской области до 2030 года, утвержденного постановлением Правительства</w:t>
      </w:r>
      <w:r w:rsidR="00B9504B">
        <w:rPr>
          <w:rFonts w:ascii="Times New Roman" w:hAnsi="Times New Roman" w:cs="Times New Roman"/>
          <w:sz w:val="28"/>
          <w:szCs w:val="28"/>
        </w:rPr>
        <w:t xml:space="preserve"> Ленинградской области от 27 сентября </w:t>
      </w:r>
      <w:r w:rsidR="004D3474" w:rsidRPr="001B7992">
        <w:rPr>
          <w:rFonts w:ascii="Times New Roman" w:hAnsi="Times New Roman" w:cs="Times New Roman"/>
          <w:sz w:val="28"/>
          <w:szCs w:val="28"/>
        </w:rPr>
        <w:t>2017</w:t>
      </w:r>
      <w:r w:rsidR="00B950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3474" w:rsidRPr="001B7992">
        <w:rPr>
          <w:rFonts w:ascii="Times New Roman" w:hAnsi="Times New Roman" w:cs="Times New Roman"/>
          <w:sz w:val="28"/>
          <w:szCs w:val="28"/>
        </w:rPr>
        <w:t xml:space="preserve"> N 388</w:t>
      </w:r>
      <w:r w:rsidR="00AE2E47" w:rsidRPr="001B7992">
        <w:rPr>
          <w:rFonts w:ascii="Times New Roman" w:hAnsi="Times New Roman" w:cs="Times New Roman"/>
          <w:sz w:val="28"/>
          <w:szCs w:val="28"/>
        </w:rPr>
        <w:t>.</w:t>
      </w:r>
      <w:r w:rsidR="00BF7535" w:rsidRPr="001B7992">
        <w:rPr>
          <w:rFonts w:ascii="Times New Roman" w:hAnsi="Times New Roman" w:cs="Times New Roman"/>
          <w:sz w:val="28"/>
          <w:szCs w:val="28"/>
        </w:rPr>
        <w:t>»</w:t>
      </w:r>
      <w:r w:rsidRPr="001B79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26C8" w:rsidRPr="001B7992" w:rsidRDefault="0008219B" w:rsidP="00FF26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девятый</w:t>
      </w:r>
      <w:r w:rsidR="00FF26C8" w:rsidRPr="001B7992">
        <w:rPr>
          <w:rFonts w:ascii="Times New Roman" w:hAnsi="Times New Roman" w:cs="Times New Roman"/>
          <w:sz w:val="28"/>
          <w:szCs w:val="28"/>
        </w:rPr>
        <w:t xml:space="preserve"> пункта 19.2 после слов «федеральных приоритетных проектов» дополнить словами «, региональных проектов».</w:t>
      </w:r>
    </w:p>
    <w:p w:rsidR="00B507CF" w:rsidRPr="001B7992" w:rsidRDefault="00B507CF" w:rsidP="00FF26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Дополнить пункт 19.2 </w:t>
      </w:r>
      <w:r w:rsidR="002C0B7C">
        <w:rPr>
          <w:rFonts w:ascii="Times New Roman" w:hAnsi="Times New Roman" w:cs="Times New Roman"/>
          <w:sz w:val="28"/>
          <w:szCs w:val="28"/>
        </w:rPr>
        <w:t>абзацем двадцать третьим</w:t>
      </w:r>
      <w:r w:rsidRPr="001B799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07CF" w:rsidRPr="001B7992" w:rsidRDefault="00B507CF" w:rsidP="00D82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lastRenderedPageBreak/>
        <w:t xml:space="preserve">«Плановые значения показателей (индикаторов) для текущего года и </w:t>
      </w:r>
      <w:r w:rsidR="00D82853" w:rsidRPr="001B7992">
        <w:rPr>
          <w:rFonts w:ascii="Times New Roman" w:hAnsi="Times New Roman" w:cs="Times New Roman"/>
          <w:sz w:val="28"/>
          <w:szCs w:val="28"/>
        </w:rPr>
        <w:t xml:space="preserve">последующих лет устанавливаются (корректируются) </w:t>
      </w:r>
      <w:r w:rsidRPr="001B7992">
        <w:rPr>
          <w:rFonts w:ascii="Times New Roman" w:hAnsi="Times New Roman" w:cs="Times New Roman"/>
          <w:sz w:val="28"/>
          <w:szCs w:val="28"/>
        </w:rPr>
        <w:t xml:space="preserve">с учетом динамики фактических значений показателей (индикаторов) </w:t>
      </w:r>
      <w:r w:rsidR="00D82853" w:rsidRPr="001B7992">
        <w:rPr>
          <w:rFonts w:ascii="Times New Roman" w:hAnsi="Times New Roman" w:cs="Times New Roman"/>
          <w:sz w:val="28"/>
          <w:szCs w:val="28"/>
        </w:rPr>
        <w:t>за предыдущие годы</w:t>
      </w:r>
      <w:proofErr w:type="gramStart"/>
      <w:r w:rsidRPr="001B7992">
        <w:rPr>
          <w:rFonts w:ascii="Times New Roman" w:hAnsi="Times New Roman" w:cs="Times New Roman"/>
          <w:sz w:val="28"/>
          <w:szCs w:val="28"/>
        </w:rPr>
        <w:t>.»</w:t>
      </w:r>
      <w:r w:rsidR="00271B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7CF" w:rsidRPr="001B7992" w:rsidRDefault="004A1108" w:rsidP="00FF26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двадцать третий – двадцать седьмой</w:t>
      </w:r>
      <w:r w:rsidR="00B507CF" w:rsidRPr="001B7992">
        <w:rPr>
          <w:rFonts w:ascii="Times New Roman" w:hAnsi="Times New Roman" w:cs="Times New Roman"/>
          <w:sz w:val="28"/>
          <w:szCs w:val="28"/>
        </w:rPr>
        <w:t xml:space="preserve"> пункта 19</w:t>
      </w:r>
      <w:r>
        <w:rPr>
          <w:rFonts w:ascii="Times New Roman" w:hAnsi="Times New Roman" w:cs="Times New Roman"/>
          <w:sz w:val="28"/>
          <w:szCs w:val="28"/>
        </w:rPr>
        <w:t xml:space="preserve">.2 считать абзацами двадцать четвертым – двадцать восьмым. </w:t>
      </w:r>
    </w:p>
    <w:p w:rsidR="00B112A5" w:rsidRPr="001B7992" w:rsidRDefault="00B112A5" w:rsidP="00EC57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Пункт 19.5 изложить в следующей редакции:</w:t>
      </w:r>
    </w:p>
    <w:p w:rsidR="00B112A5" w:rsidRPr="001B7992" w:rsidRDefault="00B112A5" w:rsidP="00B112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«19.5. План реализации государственной программы формируется в соответствии с таблицей 6 приложения 1 к Методическим указаниям и содержит сведения о запланированных основных мероприятиях, проектах, сроках их реализации, финансовом обеспечении государственной программы.</w:t>
      </w:r>
    </w:p>
    <w:p w:rsidR="00B112A5" w:rsidRPr="001B7992" w:rsidRDefault="00B112A5" w:rsidP="00B112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В качестве источников финансового обеспечения государственной программы Ленинградской области отражаются расходы:</w:t>
      </w:r>
    </w:p>
    <w:p w:rsidR="00B112A5" w:rsidRPr="001B7992" w:rsidRDefault="00B112A5" w:rsidP="00B112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федерального бюджета - в части планируемых объемов межбюджетных трансфертов областному бюджету, а также расходов на мероприятия, финансируемые напрямую из федерального бюджета;</w:t>
      </w:r>
    </w:p>
    <w:p w:rsidR="00B112A5" w:rsidRPr="001B7992" w:rsidRDefault="00B112A5" w:rsidP="00B112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областного бюджета - в части планируемых ассигнований областного бюджета на реализацию мероприятий, в составе расходов областного бюджета на выравнивание бюджетной обеспеченности муниципальных образований отражаются расчетные объемы дотаций (частей дотаций) на выравнивание бюджетной обеспеченности </w:t>
      </w:r>
      <w:r w:rsidR="007F4193">
        <w:rPr>
          <w:rFonts w:ascii="Times New Roman" w:hAnsi="Times New Roman" w:cs="Times New Roman"/>
          <w:sz w:val="28"/>
          <w:szCs w:val="28"/>
        </w:rPr>
        <w:t>муниципальных районов (городского округа</w:t>
      </w:r>
      <w:r w:rsidRPr="001B7992">
        <w:rPr>
          <w:rFonts w:ascii="Times New Roman" w:hAnsi="Times New Roman" w:cs="Times New Roman"/>
          <w:sz w:val="28"/>
          <w:szCs w:val="28"/>
        </w:rPr>
        <w:t>), замененных дополнительными нормативами отчислений от налога на доходы физических лиц;</w:t>
      </w:r>
    </w:p>
    <w:p w:rsidR="00B112A5" w:rsidRPr="001B7992" w:rsidRDefault="00B112A5" w:rsidP="00B112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местных бюджетов - в части планируемых (прогнозируемых) объемов </w:t>
      </w:r>
      <w:proofErr w:type="spellStart"/>
      <w:r w:rsidRPr="001B79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B7992">
        <w:rPr>
          <w:rFonts w:ascii="Times New Roman" w:hAnsi="Times New Roman" w:cs="Times New Roman"/>
          <w:sz w:val="28"/>
          <w:szCs w:val="28"/>
        </w:rPr>
        <w:t xml:space="preserve"> мероприятий, для осуществления которых предоставляются субсидии областного бюджета;</w:t>
      </w:r>
    </w:p>
    <w:p w:rsidR="00B112A5" w:rsidRPr="001B7992" w:rsidRDefault="00B112A5" w:rsidP="00B112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прочих источников - в части расходов иных организаций по мероприятиям, реализуемым при финансовом или организационном участии органов исполнительной власти Ленинградской области, инвестиционным проектам. В государственную программу могут быть включены инвестиционные проекты, соответствующие целям и задачам реализации государственной программы (подпрограмм государственной программы), реализация которых согласована Межведомственной комиссией по размещению производительных сил на территории Ленинградской области.</w:t>
      </w:r>
    </w:p>
    <w:p w:rsidR="008C4146" w:rsidRPr="001B7992" w:rsidRDefault="008C4146" w:rsidP="00B112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В качестве расходов прочих источников также отражаются средства </w:t>
      </w:r>
      <w:r w:rsidR="006E721C" w:rsidRPr="001B7992">
        <w:rPr>
          <w:rFonts w:ascii="Times New Roman" w:hAnsi="Times New Roman" w:cs="Times New Roman"/>
          <w:sz w:val="28"/>
          <w:szCs w:val="28"/>
        </w:rPr>
        <w:t>г</w:t>
      </w:r>
      <w:r w:rsidRPr="001B7992">
        <w:rPr>
          <w:rFonts w:ascii="Times New Roman" w:hAnsi="Times New Roman" w:cs="Times New Roman"/>
          <w:sz w:val="28"/>
          <w:szCs w:val="28"/>
        </w:rPr>
        <w:t>осударственной корпорации — Фонда содействия реформированию жилищно-коммунального хозяйства.</w:t>
      </w:r>
    </w:p>
    <w:p w:rsidR="00B112A5" w:rsidRPr="001B7992" w:rsidRDefault="00B112A5" w:rsidP="00B112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Средства на предоставление межбюджетных трансфертов предусматриваются в плане реализации государственной программы в разрезе форм и направлений их предоставления.</w:t>
      </w:r>
    </w:p>
    <w:p w:rsidR="00B112A5" w:rsidRPr="001B7992" w:rsidRDefault="00B112A5" w:rsidP="00B112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Расчетные объемы дотаций (частей дотаций) на выравнивание бюджетной обеспеченности </w:t>
      </w:r>
      <w:r w:rsidR="00125BD8">
        <w:rPr>
          <w:rFonts w:ascii="Times New Roman" w:hAnsi="Times New Roman" w:cs="Times New Roman"/>
          <w:sz w:val="28"/>
          <w:szCs w:val="28"/>
        </w:rPr>
        <w:t>муниципальных районов (городского округа</w:t>
      </w:r>
      <w:r w:rsidRPr="001B7992">
        <w:rPr>
          <w:rFonts w:ascii="Times New Roman" w:hAnsi="Times New Roman" w:cs="Times New Roman"/>
          <w:sz w:val="28"/>
          <w:szCs w:val="28"/>
        </w:rPr>
        <w:t>), замененных дополнительными нормативами отчислений от налога на доходы физических лиц, предусматриваются в плане реализации в порядке, аналоги</w:t>
      </w:r>
      <w:r w:rsidR="00125BD8">
        <w:rPr>
          <w:rFonts w:ascii="Times New Roman" w:hAnsi="Times New Roman" w:cs="Times New Roman"/>
          <w:sz w:val="28"/>
          <w:szCs w:val="28"/>
        </w:rPr>
        <w:t xml:space="preserve">чном </w:t>
      </w:r>
      <w:proofErr w:type="gramStart"/>
      <w:r w:rsidR="00125BD8">
        <w:rPr>
          <w:rFonts w:ascii="Times New Roman" w:hAnsi="Times New Roman" w:cs="Times New Roman"/>
          <w:sz w:val="28"/>
          <w:szCs w:val="28"/>
        </w:rPr>
        <w:t>предусмотренному</w:t>
      </w:r>
      <w:proofErr w:type="gramEnd"/>
      <w:r w:rsidR="00125BD8">
        <w:rPr>
          <w:rFonts w:ascii="Times New Roman" w:hAnsi="Times New Roman" w:cs="Times New Roman"/>
          <w:sz w:val="28"/>
          <w:szCs w:val="28"/>
        </w:rPr>
        <w:t xml:space="preserve"> абзацем одиннадцатым</w:t>
      </w:r>
      <w:r w:rsidRPr="001B7992">
        <w:rPr>
          <w:rFonts w:ascii="Times New Roman" w:hAnsi="Times New Roman" w:cs="Times New Roman"/>
          <w:sz w:val="28"/>
          <w:szCs w:val="28"/>
        </w:rPr>
        <w:t xml:space="preserve"> пункта 14 Методических указаний.</w:t>
      </w:r>
    </w:p>
    <w:p w:rsidR="00B112A5" w:rsidRPr="001B7992" w:rsidRDefault="00B112A5" w:rsidP="00B112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Средства на строительство, реконструкцию и модернизацию объектов государственной и муниципальной собственности предусматриваются в плане </w:t>
      </w:r>
      <w:r w:rsidRPr="001B7992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программы в разрезе основных мероприятий (групп объектов).</w:t>
      </w:r>
    </w:p>
    <w:p w:rsidR="00B112A5" w:rsidRPr="001B7992" w:rsidRDefault="00B112A5" w:rsidP="00B112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992">
        <w:rPr>
          <w:rFonts w:ascii="Times New Roman" w:hAnsi="Times New Roman" w:cs="Times New Roman"/>
          <w:sz w:val="28"/>
          <w:szCs w:val="28"/>
        </w:rPr>
        <w:t>Перечень объектов, строительство, реконструкция и модернизация которых предусмотрены в рамках государственной программы (подпрограммы), формируется ответственным исполнителем в порядке и по форме, установленной Положением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№ 10.</w:t>
      </w:r>
      <w:proofErr w:type="gramEnd"/>
    </w:p>
    <w:p w:rsidR="00B112A5" w:rsidRPr="001B7992" w:rsidRDefault="00B112A5" w:rsidP="00B112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Объем расходов областного бюджета на реализацию государственной программы на очередной год и плановый период утверждается законом об областном бюджете по соответствующей каждой государственной программе целевой статье расходов бюджета в соответствии с постановлением Правительства Ленинградской области об утверждении государственной программы. После утверждения областного бюджета (внесения изменений в областной бюджет) государственные программы должны быть приведены в соответствие с областным бюджетом в сроки, установленные бюджетным законодательством.</w:t>
      </w:r>
    </w:p>
    <w:p w:rsidR="00B112A5" w:rsidRPr="001B7992" w:rsidRDefault="00B112A5" w:rsidP="00B112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Сведения о фактических расходах (для отчетного периода) в соответствии с пунктом 3.12</w:t>
      </w:r>
      <w:r w:rsidR="00AA2F80">
        <w:rPr>
          <w:rFonts w:ascii="Times New Roman" w:hAnsi="Times New Roman" w:cs="Times New Roman"/>
          <w:sz w:val="28"/>
          <w:szCs w:val="28"/>
        </w:rPr>
        <w:t>.</w:t>
      </w:r>
      <w:r w:rsidRPr="001B7992">
        <w:rPr>
          <w:rFonts w:ascii="Times New Roman" w:hAnsi="Times New Roman" w:cs="Times New Roman"/>
          <w:sz w:val="28"/>
          <w:szCs w:val="28"/>
        </w:rPr>
        <w:t xml:space="preserve"> Порядка отражаются в государственной программе по форме таблицы 6а приложения 1 к Методическим указаниям».</w:t>
      </w:r>
    </w:p>
    <w:p w:rsidR="009A13EB" w:rsidRPr="001B7992" w:rsidRDefault="00B112A5" w:rsidP="009A13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 </w:t>
      </w:r>
      <w:r w:rsidR="009A13EB" w:rsidRPr="001B7992">
        <w:rPr>
          <w:rFonts w:ascii="Times New Roman" w:hAnsi="Times New Roman" w:cs="Times New Roman"/>
          <w:sz w:val="28"/>
          <w:szCs w:val="28"/>
        </w:rPr>
        <w:t>Дополнить пунктом 19.6 в следующей редакции:</w:t>
      </w:r>
    </w:p>
    <w:p w:rsidR="009A13EB" w:rsidRPr="001B7992" w:rsidRDefault="009A13EB" w:rsidP="009A1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«19.6. В целях эффективного использования бюджетных сре</w:t>
      </w:r>
      <w:proofErr w:type="gramStart"/>
      <w:r w:rsidRPr="001B799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B7992">
        <w:rPr>
          <w:rFonts w:ascii="Times New Roman" w:hAnsi="Times New Roman" w:cs="Times New Roman"/>
          <w:sz w:val="28"/>
          <w:szCs w:val="28"/>
        </w:rPr>
        <w:t>оставе государственных программ учитываются налоговые расходы областного бюджета, обусловленные льготами, предоставляемыми налогоплательщикам, направленны</w:t>
      </w:r>
      <w:r w:rsidR="005A5927" w:rsidRPr="001B7992">
        <w:rPr>
          <w:rFonts w:ascii="Times New Roman" w:hAnsi="Times New Roman" w:cs="Times New Roman"/>
          <w:sz w:val="28"/>
          <w:szCs w:val="28"/>
        </w:rPr>
        <w:t>е</w:t>
      </w:r>
      <w:r w:rsidRPr="001B7992">
        <w:rPr>
          <w:rFonts w:ascii="Times New Roman" w:hAnsi="Times New Roman" w:cs="Times New Roman"/>
          <w:sz w:val="28"/>
          <w:szCs w:val="28"/>
        </w:rPr>
        <w:t xml:space="preserve"> на достижение</w:t>
      </w:r>
      <w:r w:rsidR="001B6788" w:rsidRPr="001B7992">
        <w:rPr>
          <w:rFonts w:ascii="Times New Roman" w:hAnsi="Times New Roman" w:cs="Times New Roman"/>
          <w:sz w:val="28"/>
          <w:szCs w:val="28"/>
        </w:rPr>
        <w:t xml:space="preserve"> целей государственных программ</w:t>
      </w:r>
      <w:r w:rsidRPr="001B7992">
        <w:rPr>
          <w:rFonts w:ascii="Times New Roman" w:hAnsi="Times New Roman" w:cs="Times New Roman"/>
          <w:sz w:val="28"/>
          <w:szCs w:val="28"/>
        </w:rPr>
        <w:t xml:space="preserve">. Сведения о налоговых расходах, направленных на реализацию государственной программы, отражаются в отдельном приложении к государственной программе «Сведения о налоговых расходах областного бюджета Ленинградской области, направленных на достижение </w:t>
      </w:r>
      <w:r w:rsidR="007A5178" w:rsidRPr="001B7992">
        <w:rPr>
          <w:rFonts w:ascii="Times New Roman" w:hAnsi="Times New Roman" w:cs="Times New Roman"/>
          <w:sz w:val="28"/>
          <w:szCs w:val="28"/>
        </w:rPr>
        <w:t>цели государственной программы»</w:t>
      </w:r>
      <w:r w:rsidRPr="001B7992">
        <w:rPr>
          <w:rFonts w:ascii="Times New Roman" w:hAnsi="Times New Roman" w:cs="Times New Roman"/>
          <w:sz w:val="28"/>
          <w:szCs w:val="28"/>
        </w:rPr>
        <w:t>.</w:t>
      </w:r>
    </w:p>
    <w:p w:rsidR="009A13EB" w:rsidRPr="001B7992" w:rsidRDefault="009A13EB" w:rsidP="009A1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В данном приложении отражается информация по всем налоговым расходам, направленным на достижение цели государственной программы с привязкой к структурным элементам и показателям государственной программы (подпрограммы), и обоснованием влияния налоговой льготы на достижение цели и задач государственной программы (подпрограммы). </w:t>
      </w:r>
    </w:p>
    <w:p w:rsidR="005A5927" w:rsidRPr="001B7992" w:rsidRDefault="009A13EB" w:rsidP="009A1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Сведения о размерах налоговых расходов областного бюджета приводятся по форме таблицы 7 приложения 1 к настоящим Методическим указаниям</w:t>
      </w:r>
      <w:r w:rsidR="008B0318" w:rsidRPr="001B7992">
        <w:rPr>
          <w:rFonts w:ascii="Times New Roman" w:hAnsi="Times New Roman" w:cs="Times New Roman"/>
          <w:sz w:val="28"/>
          <w:szCs w:val="28"/>
        </w:rPr>
        <w:t>.</w:t>
      </w:r>
    </w:p>
    <w:p w:rsidR="009A13EB" w:rsidRPr="001B7992" w:rsidRDefault="005A5927" w:rsidP="009A1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Таблица заполняется с учетом Перечня налоговых расходов Ленинградской области и паспорта налогового расхода</w:t>
      </w:r>
      <w:proofErr w:type="gramStart"/>
      <w:r w:rsidR="001B6788" w:rsidRPr="001B7992">
        <w:rPr>
          <w:rFonts w:ascii="Times New Roman" w:hAnsi="Times New Roman" w:cs="Times New Roman"/>
          <w:sz w:val="28"/>
          <w:szCs w:val="28"/>
        </w:rPr>
        <w:t>.</w:t>
      </w:r>
      <w:r w:rsidR="008B0318" w:rsidRPr="001B7992">
        <w:rPr>
          <w:rFonts w:ascii="Times New Roman" w:hAnsi="Times New Roman" w:cs="Times New Roman"/>
          <w:sz w:val="28"/>
          <w:szCs w:val="28"/>
        </w:rPr>
        <w:t>»</w:t>
      </w:r>
      <w:r w:rsidR="00AE2E47" w:rsidRPr="001B79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3EB" w:rsidRPr="001B7992" w:rsidRDefault="001F3C1D" w:rsidP="001F3C1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П</w:t>
      </w:r>
      <w:r w:rsidR="001260A3">
        <w:rPr>
          <w:rFonts w:ascii="Times New Roman" w:hAnsi="Times New Roman" w:cs="Times New Roman"/>
          <w:sz w:val="28"/>
          <w:szCs w:val="28"/>
        </w:rPr>
        <w:t>ункт 22 исключить</w:t>
      </w:r>
      <w:r w:rsidRPr="001B7992">
        <w:rPr>
          <w:rFonts w:ascii="Times New Roman" w:hAnsi="Times New Roman" w:cs="Times New Roman"/>
          <w:sz w:val="28"/>
          <w:szCs w:val="28"/>
        </w:rPr>
        <w:t>.</w:t>
      </w:r>
    </w:p>
    <w:p w:rsidR="00FA22D4" w:rsidRPr="001B7992" w:rsidRDefault="00C15B2C" w:rsidP="001F3C1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одиннадцатый</w:t>
      </w:r>
      <w:r w:rsidR="00FA22D4" w:rsidRPr="001B7992">
        <w:rPr>
          <w:rFonts w:ascii="Times New Roman" w:hAnsi="Times New Roman" w:cs="Times New Roman"/>
          <w:sz w:val="28"/>
          <w:szCs w:val="28"/>
        </w:rPr>
        <w:t xml:space="preserve"> пункта 23 изложить в следующей редакции:</w:t>
      </w:r>
    </w:p>
    <w:p w:rsidR="00FA22D4" w:rsidRPr="001B7992" w:rsidRDefault="00FA22D4" w:rsidP="00FA22D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 xml:space="preserve">«Сводный детальный план и детальные планы реализации государственной программы на </w:t>
      </w:r>
      <w:r w:rsidR="006D2680" w:rsidRPr="001B7992">
        <w:rPr>
          <w:rFonts w:ascii="Times New Roman" w:hAnsi="Times New Roman" w:cs="Times New Roman"/>
          <w:sz w:val="28"/>
          <w:szCs w:val="28"/>
        </w:rPr>
        <w:t>очередной</w:t>
      </w:r>
      <w:r w:rsidRPr="001B7992">
        <w:rPr>
          <w:rFonts w:ascii="Times New Roman" w:hAnsi="Times New Roman" w:cs="Times New Roman"/>
          <w:sz w:val="28"/>
          <w:szCs w:val="28"/>
        </w:rPr>
        <w:t xml:space="preserve"> финансовый год должны быть утверждены до </w:t>
      </w:r>
      <w:r w:rsidR="0094228A" w:rsidRPr="001B7992">
        <w:rPr>
          <w:rFonts w:ascii="Times New Roman" w:hAnsi="Times New Roman" w:cs="Times New Roman"/>
          <w:sz w:val="28"/>
          <w:szCs w:val="28"/>
        </w:rPr>
        <w:t>28 февраля</w:t>
      </w:r>
      <w:r w:rsidRPr="001B7992">
        <w:rPr>
          <w:rFonts w:ascii="Times New Roman" w:hAnsi="Times New Roman" w:cs="Times New Roman"/>
          <w:sz w:val="28"/>
          <w:szCs w:val="28"/>
        </w:rPr>
        <w:t xml:space="preserve"> </w:t>
      </w:r>
      <w:r w:rsidR="006D2680" w:rsidRPr="001B7992">
        <w:rPr>
          <w:rFonts w:ascii="Times New Roman" w:hAnsi="Times New Roman" w:cs="Times New Roman"/>
          <w:sz w:val="28"/>
          <w:szCs w:val="28"/>
        </w:rPr>
        <w:t>очередного</w:t>
      </w:r>
      <w:r w:rsidRPr="001B7992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proofErr w:type="gramStart"/>
      <w:r w:rsidRPr="001B7992">
        <w:rPr>
          <w:rFonts w:ascii="Times New Roman" w:hAnsi="Times New Roman" w:cs="Times New Roman"/>
          <w:sz w:val="28"/>
          <w:szCs w:val="28"/>
        </w:rPr>
        <w:t>.»</w:t>
      </w:r>
      <w:r w:rsidR="00AE2E47" w:rsidRPr="001B79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3797" w:rsidRPr="00C43797" w:rsidRDefault="003B6DD9" w:rsidP="001F3C1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797">
        <w:rPr>
          <w:rFonts w:ascii="Times New Roman" w:hAnsi="Times New Roman" w:cs="Times New Roman"/>
          <w:sz w:val="28"/>
          <w:szCs w:val="28"/>
        </w:rPr>
        <w:t xml:space="preserve">Строку 2 Таблицы 2 </w:t>
      </w:r>
      <w:r w:rsidR="00A20276" w:rsidRPr="00C43797">
        <w:rPr>
          <w:rFonts w:ascii="Times New Roman" w:hAnsi="Times New Roman" w:cs="Times New Roman"/>
          <w:sz w:val="28"/>
          <w:szCs w:val="28"/>
        </w:rPr>
        <w:t>приложения 1 к Методическим указаниям изложить в следующей редакции:</w:t>
      </w:r>
    </w:p>
    <w:tbl>
      <w:tblPr>
        <w:tblW w:w="55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9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5178" w:rsidRPr="001B7992" w:rsidTr="00D54C7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8" w:rsidRPr="001B7992" w:rsidRDefault="007A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992"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8" w:rsidRPr="001B7992" w:rsidRDefault="007A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992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8" w:rsidRPr="001B7992" w:rsidRDefault="007A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9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8" w:rsidRPr="001B7992" w:rsidRDefault="007A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9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8" w:rsidRPr="001B7992" w:rsidRDefault="007A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9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8" w:rsidRPr="001B7992" w:rsidRDefault="007A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9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8" w:rsidRPr="001B7992" w:rsidRDefault="007A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992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8" w:rsidRPr="001B7992" w:rsidRDefault="007A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992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8" w:rsidRPr="001B7992" w:rsidRDefault="007A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9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8" w:rsidRPr="001B7992" w:rsidRDefault="007A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9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3B6DD9" w:rsidRPr="001B7992" w:rsidRDefault="003B6DD9" w:rsidP="003B6DD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Наименование Таблицы 4а приложения 1 к Методическим указаниям изложить в следующей редакции:</w:t>
      </w:r>
    </w:p>
    <w:p w:rsidR="003B6DD9" w:rsidRPr="001B7992" w:rsidRDefault="003B6DD9" w:rsidP="003B6DD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«</w:t>
      </w:r>
      <w:r w:rsidR="0001144D" w:rsidRPr="001B7992">
        <w:rPr>
          <w:rFonts w:ascii="Times New Roman" w:hAnsi="Times New Roman" w:cs="Times New Roman"/>
          <w:sz w:val="28"/>
          <w:szCs w:val="28"/>
        </w:rPr>
        <w:t>Сведения</w:t>
      </w:r>
      <w:r w:rsidRPr="001B7992">
        <w:rPr>
          <w:rFonts w:ascii="Times New Roman" w:hAnsi="Times New Roman" w:cs="Times New Roman"/>
          <w:sz w:val="28"/>
          <w:szCs w:val="28"/>
        </w:rPr>
        <w:t xml:space="preserve"> о порядке сбора информации и методике расчета показателей (индикаторов) государственной программы»</w:t>
      </w:r>
    </w:p>
    <w:p w:rsidR="003B6DD9" w:rsidRPr="001B7992" w:rsidRDefault="003B6DD9" w:rsidP="003B6DD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Примечание &lt;2&gt; к Таблице 4а приложения 1 к Методическим указаниям изложить в следующей редакции:</w:t>
      </w:r>
    </w:p>
    <w:p w:rsidR="003B6DD9" w:rsidRPr="001B7992" w:rsidRDefault="003B6DD9" w:rsidP="0001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«&lt;2</w:t>
      </w:r>
      <w:proofErr w:type="gramStart"/>
      <w:r w:rsidRPr="001B7992">
        <w:rPr>
          <w:rFonts w:ascii="Times New Roman" w:hAnsi="Times New Roman" w:cs="Times New Roman"/>
          <w:sz w:val="28"/>
          <w:szCs w:val="28"/>
        </w:rPr>
        <w:t xml:space="preserve">&gt; </w:t>
      </w:r>
      <w:r w:rsidR="0001144D" w:rsidRPr="001B799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1144D" w:rsidRPr="001B7992">
        <w:rPr>
          <w:rFonts w:ascii="Times New Roman" w:hAnsi="Times New Roman" w:cs="Times New Roman"/>
          <w:sz w:val="28"/>
          <w:szCs w:val="28"/>
        </w:rPr>
        <w:t xml:space="preserve">казываются периодичность сбора данных и вид временной характеристики (показатель на дату, показатель за период; </w:t>
      </w:r>
      <w:r w:rsidRPr="001B7992">
        <w:rPr>
          <w:rFonts w:ascii="Times New Roman" w:hAnsi="Times New Roman" w:cs="Times New Roman"/>
          <w:sz w:val="28"/>
          <w:szCs w:val="28"/>
        </w:rPr>
        <w:t>ежегодно, ежеквартально, ежемесячно</w:t>
      </w:r>
      <w:r w:rsidR="0001144D" w:rsidRPr="001B7992">
        <w:rPr>
          <w:rFonts w:ascii="Times New Roman" w:hAnsi="Times New Roman" w:cs="Times New Roman"/>
          <w:sz w:val="28"/>
          <w:szCs w:val="28"/>
        </w:rPr>
        <w:t>)</w:t>
      </w:r>
      <w:r w:rsidRPr="001B7992">
        <w:rPr>
          <w:rFonts w:ascii="Times New Roman" w:hAnsi="Times New Roman" w:cs="Times New Roman"/>
          <w:sz w:val="28"/>
          <w:szCs w:val="28"/>
        </w:rPr>
        <w:t>».</w:t>
      </w:r>
    </w:p>
    <w:p w:rsidR="00A20276" w:rsidRPr="001B7992" w:rsidRDefault="00A20276" w:rsidP="00651756">
      <w:pPr>
        <w:rPr>
          <w:rFonts w:ascii="Times New Roman" w:hAnsi="Times New Roman" w:cs="Times New Roman"/>
          <w:sz w:val="28"/>
          <w:szCs w:val="28"/>
        </w:rPr>
        <w:sectPr w:rsidR="00A20276" w:rsidRPr="001B7992" w:rsidSect="00015E6B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3B6DD9" w:rsidRPr="001B7992" w:rsidRDefault="003B6DD9" w:rsidP="003B6DD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lastRenderedPageBreak/>
        <w:tab/>
        <w:t>Таблицу 6 приложения 1 к Методическим указаниям изложить в следующей редакции:</w:t>
      </w:r>
    </w:p>
    <w:p w:rsidR="00A20276" w:rsidRPr="001B7992" w:rsidRDefault="00A20276" w:rsidP="00A202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B7992">
        <w:rPr>
          <w:rFonts w:ascii="Times New Roman" w:hAnsi="Times New Roman" w:cs="Times New Roman"/>
          <w:sz w:val="20"/>
          <w:szCs w:val="20"/>
        </w:rPr>
        <w:t>Таблица 6</w:t>
      </w:r>
    </w:p>
    <w:p w:rsidR="00A20276" w:rsidRPr="001B7992" w:rsidRDefault="00A20276" w:rsidP="00A20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0276" w:rsidRPr="001B7992" w:rsidRDefault="003650BF" w:rsidP="00A2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992">
        <w:rPr>
          <w:rFonts w:ascii="Times New Roman" w:hAnsi="Times New Roman" w:cs="Times New Roman"/>
          <w:sz w:val="20"/>
          <w:szCs w:val="20"/>
        </w:rPr>
        <w:t>«</w:t>
      </w:r>
      <w:r w:rsidR="00A20276" w:rsidRPr="001B7992">
        <w:rPr>
          <w:rFonts w:ascii="Times New Roman" w:hAnsi="Times New Roman" w:cs="Times New Roman"/>
          <w:sz w:val="20"/>
          <w:szCs w:val="20"/>
        </w:rPr>
        <w:t>План</w:t>
      </w:r>
    </w:p>
    <w:p w:rsidR="00A20276" w:rsidRPr="001B7992" w:rsidRDefault="00A20276" w:rsidP="00A2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992">
        <w:rPr>
          <w:rFonts w:ascii="Times New Roman" w:hAnsi="Times New Roman" w:cs="Times New Roman"/>
          <w:sz w:val="20"/>
          <w:szCs w:val="20"/>
        </w:rPr>
        <w:t>реализации государственной программы</w:t>
      </w:r>
      <w:r w:rsidR="00FF6BEC" w:rsidRPr="001B7992">
        <w:rPr>
          <w:rFonts w:ascii="Times New Roman" w:hAnsi="Times New Roman" w:cs="Times New Roman"/>
          <w:sz w:val="20"/>
          <w:szCs w:val="20"/>
        </w:rPr>
        <w:t xml:space="preserve"> &lt;2&gt;</w:t>
      </w:r>
    </w:p>
    <w:p w:rsidR="00A20276" w:rsidRPr="001B7992" w:rsidRDefault="00A20276" w:rsidP="00A2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32"/>
        <w:gridCol w:w="1474"/>
        <w:gridCol w:w="850"/>
        <w:gridCol w:w="1528"/>
        <w:gridCol w:w="1871"/>
        <w:gridCol w:w="1191"/>
        <w:gridCol w:w="1361"/>
      </w:tblGrid>
      <w:tr w:rsidR="00A20276" w:rsidRPr="001B7992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 &lt;1&gt;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A20276" w:rsidRPr="001B799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A20276" w:rsidRPr="001B799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0276" w:rsidRPr="001B7992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76" w:rsidRPr="001B799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6" w:rsidRPr="001B7992" w:rsidRDefault="00A2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0BF" w:rsidRPr="001B7992" w:rsidRDefault="003650BF" w:rsidP="00A2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7992">
        <w:rPr>
          <w:rFonts w:ascii="Times New Roman" w:hAnsi="Times New Roman" w:cs="Times New Roman"/>
          <w:sz w:val="20"/>
          <w:szCs w:val="20"/>
        </w:rPr>
        <w:t>"</w:t>
      </w:r>
    </w:p>
    <w:p w:rsidR="00A20276" w:rsidRPr="001B7992" w:rsidRDefault="00A20276" w:rsidP="00A2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7992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A20276" w:rsidRPr="001B7992" w:rsidRDefault="00A20276" w:rsidP="00A202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7992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1B7992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1B7992">
        <w:rPr>
          <w:rFonts w:ascii="Times New Roman" w:hAnsi="Times New Roman" w:cs="Times New Roman"/>
          <w:sz w:val="20"/>
          <w:szCs w:val="20"/>
        </w:rPr>
        <w:t>ля уровня государственной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A20276" w:rsidRPr="001B7992" w:rsidRDefault="00A20276" w:rsidP="00A202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0"/>
          <w:szCs w:val="20"/>
        </w:rPr>
        <w:t>&lt;2&gt; План реализации заполняется с учетом особенностей, предусмотренных абзацем 11 пункта 14 Методических указаний</w:t>
      </w:r>
      <w:r w:rsidR="003650BF" w:rsidRPr="001B7992">
        <w:rPr>
          <w:rFonts w:ascii="Times New Roman" w:hAnsi="Times New Roman" w:cs="Times New Roman"/>
          <w:sz w:val="20"/>
          <w:szCs w:val="20"/>
        </w:rPr>
        <w:t>»</w:t>
      </w:r>
      <w:r w:rsidRPr="001B7992">
        <w:rPr>
          <w:rFonts w:ascii="Times New Roman" w:hAnsi="Times New Roman" w:cs="Times New Roman"/>
          <w:sz w:val="20"/>
          <w:szCs w:val="20"/>
        </w:rPr>
        <w:t>.</w:t>
      </w:r>
      <w:r w:rsidRPr="001B7992">
        <w:rPr>
          <w:rFonts w:ascii="Times New Roman" w:hAnsi="Times New Roman" w:cs="Times New Roman"/>
          <w:sz w:val="28"/>
          <w:szCs w:val="28"/>
        </w:rPr>
        <w:br w:type="page"/>
      </w:r>
    </w:p>
    <w:p w:rsidR="00A20276" w:rsidRPr="001B7992" w:rsidRDefault="00A20276" w:rsidP="00A20276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0276" w:rsidRPr="001B7992" w:rsidRDefault="001F3C1D" w:rsidP="00A202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Таблицу 7 приложения 1 к Методическим указаниям изложить в следующей редакции:</w:t>
      </w:r>
      <w:r w:rsidR="00A20276" w:rsidRPr="001B7992">
        <w:rPr>
          <w:rFonts w:ascii="Arial" w:hAnsi="Arial" w:cs="Arial"/>
          <w:sz w:val="28"/>
          <w:szCs w:val="28"/>
        </w:rPr>
        <w:t xml:space="preserve"> </w:t>
      </w:r>
    </w:p>
    <w:p w:rsidR="00104212" w:rsidRPr="001B7992" w:rsidRDefault="00104212" w:rsidP="0090309E">
      <w:pPr>
        <w:pStyle w:val="a4"/>
        <w:autoSpaceDE w:val="0"/>
        <w:autoSpaceDN w:val="0"/>
        <w:adjustRightInd w:val="0"/>
        <w:spacing w:after="0" w:line="240" w:lineRule="auto"/>
        <w:ind w:left="56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B7992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1F3C1D" w:rsidRPr="001B7992">
        <w:rPr>
          <w:rFonts w:ascii="Times New Roman" w:hAnsi="Times New Roman" w:cs="Times New Roman"/>
          <w:sz w:val="20"/>
          <w:szCs w:val="20"/>
        </w:rPr>
        <w:t>7</w:t>
      </w:r>
    </w:p>
    <w:p w:rsidR="001F3C1D" w:rsidRPr="001B7992" w:rsidRDefault="003650BF" w:rsidP="001F3C1D">
      <w:pPr>
        <w:jc w:val="center"/>
        <w:rPr>
          <w:rFonts w:ascii="Times New Roman" w:hAnsi="Times New Roman" w:cs="Times New Roman"/>
          <w:sz w:val="20"/>
          <w:szCs w:val="20"/>
        </w:rPr>
      </w:pPr>
      <w:r w:rsidRPr="001B7992">
        <w:rPr>
          <w:rFonts w:ascii="Times New Roman" w:hAnsi="Times New Roman" w:cs="Times New Roman"/>
          <w:sz w:val="20"/>
          <w:szCs w:val="20"/>
        </w:rPr>
        <w:t>«</w:t>
      </w:r>
      <w:r w:rsidR="001F3C1D" w:rsidRPr="001B7992">
        <w:rPr>
          <w:rFonts w:ascii="Times New Roman" w:hAnsi="Times New Roman" w:cs="Times New Roman"/>
          <w:sz w:val="20"/>
          <w:szCs w:val="20"/>
        </w:rPr>
        <w:t>Сведения о налоговых расходах областного бюджета, направленных на достижение цели государственной программы</w:t>
      </w:r>
      <w:r w:rsidR="000A3EE9" w:rsidRPr="001B7992">
        <w:rPr>
          <w:rFonts w:ascii="Times New Roman" w:hAnsi="Times New Roman" w:cs="Times New Roman"/>
          <w:sz w:val="20"/>
          <w:szCs w:val="20"/>
        </w:rPr>
        <w:t xml:space="preserve"> &lt;1&gt;</w:t>
      </w:r>
    </w:p>
    <w:p w:rsidR="007A5178" w:rsidRPr="001B7992" w:rsidRDefault="007A5178" w:rsidP="0036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8"/>
        <w:gridCol w:w="1877"/>
        <w:gridCol w:w="1828"/>
        <w:gridCol w:w="1700"/>
        <w:gridCol w:w="1320"/>
        <w:gridCol w:w="1418"/>
        <w:gridCol w:w="1701"/>
        <w:gridCol w:w="1559"/>
        <w:gridCol w:w="1843"/>
      </w:tblGrid>
      <w:tr w:rsidR="009C5F4B" w:rsidRPr="001B7992" w:rsidTr="009C5F4B">
        <w:tc>
          <w:tcPr>
            <w:tcW w:w="1888" w:type="dxa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  <w:p w:rsidR="009C5F4B" w:rsidRPr="001B7992" w:rsidRDefault="009C5F4B" w:rsidP="008A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налоплательщиков</w:t>
            </w:r>
          </w:p>
          <w:p w:rsidR="009C5F4B" w:rsidRPr="001B7992" w:rsidRDefault="009C5F4B" w:rsidP="008A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C5F4B" w:rsidRPr="001B7992" w:rsidRDefault="009C5F4B" w:rsidP="00FF2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достижения целей госпрограммы </w:t>
            </w:r>
          </w:p>
        </w:tc>
        <w:tc>
          <w:tcPr>
            <w:tcW w:w="1320" w:type="dxa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3119" w:type="dxa"/>
            <w:gridSpan w:val="2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  <w:p w:rsidR="009C5F4B" w:rsidRPr="001B7992" w:rsidRDefault="009C5F4B" w:rsidP="008A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Размер налогового расхода (</w:t>
            </w:r>
            <w:proofErr w:type="spellStart"/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5F4B" w:rsidRPr="001B7992" w:rsidRDefault="009C5F4B" w:rsidP="000A3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</w:tr>
      <w:tr w:rsidR="009C5F4B" w:rsidRPr="001B7992" w:rsidTr="009C5F4B">
        <w:tc>
          <w:tcPr>
            <w:tcW w:w="1888" w:type="dxa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5F4B" w:rsidRPr="001B7992" w:rsidTr="0090309E">
        <w:tc>
          <w:tcPr>
            <w:tcW w:w="1888" w:type="dxa"/>
            <w:vMerge w:val="restart"/>
          </w:tcPr>
          <w:p w:rsidR="009C5F4B" w:rsidRPr="001B7992" w:rsidRDefault="009C5F4B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9C5F4B" w:rsidRPr="001B7992" w:rsidRDefault="009C5F4B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</w:tcPr>
          <w:p w:rsidR="009C5F4B" w:rsidRPr="001B7992" w:rsidRDefault="009C5F4B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C5F4B" w:rsidRPr="001B7992" w:rsidRDefault="009C5F4B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9C5F4B" w:rsidRPr="001B7992" w:rsidRDefault="009C5F4B" w:rsidP="00ED4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1701" w:type="dxa"/>
            <w:vAlign w:val="center"/>
          </w:tcPr>
          <w:p w:rsidR="009C5F4B" w:rsidRPr="001B7992" w:rsidRDefault="008C4146" w:rsidP="0090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9C5F4B" w:rsidRPr="001B7992" w:rsidRDefault="009C5F4B" w:rsidP="00ED4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1843" w:type="dxa"/>
            <w:vAlign w:val="center"/>
          </w:tcPr>
          <w:p w:rsidR="009C5F4B" w:rsidRPr="001B7992" w:rsidRDefault="008C4146" w:rsidP="0090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5F4B" w:rsidRPr="001B7992" w:rsidTr="0090309E">
        <w:tc>
          <w:tcPr>
            <w:tcW w:w="1888" w:type="dxa"/>
            <w:vMerge/>
          </w:tcPr>
          <w:p w:rsidR="009C5F4B" w:rsidRPr="001B7992" w:rsidRDefault="009C5F4B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9C5F4B" w:rsidRPr="001B7992" w:rsidRDefault="009C5F4B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9C5F4B" w:rsidRPr="001B7992" w:rsidRDefault="009C5F4B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C5F4B" w:rsidRPr="001B7992" w:rsidRDefault="009C5F4B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5F4B" w:rsidRPr="001B7992" w:rsidRDefault="009C5F4B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5F4B" w:rsidRPr="001B7992" w:rsidRDefault="009C5F4B" w:rsidP="00ED4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9C5F4B" w:rsidRPr="001B7992" w:rsidRDefault="009C5F4B" w:rsidP="0090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F4B" w:rsidRPr="001B7992" w:rsidRDefault="009C5F4B" w:rsidP="00ED4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843" w:type="dxa"/>
            <w:vAlign w:val="center"/>
          </w:tcPr>
          <w:p w:rsidR="009C5F4B" w:rsidRPr="001B7992" w:rsidRDefault="009C5F4B" w:rsidP="0090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9E" w:rsidRPr="001B7992" w:rsidTr="0090309E">
        <w:tc>
          <w:tcPr>
            <w:tcW w:w="1888" w:type="dxa"/>
            <w:vMerge w:val="restart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90309E" w:rsidRPr="001B7992" w:rsidRDefault="0090309E" w:rsidP="0094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90309E" w:rsidRPr="001B7992" w:rsidRDefault="0090309E" w:rsidP="00B6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1701" w:type="dxa"/>
            <w:vAlign w:val="center"/>
          </w:tcPr>
          <w:p w:rsidR="0090309E" w:rsidRPr="001B7992" w:rsidRDefault="0090309E" w:rsidP="0090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90309E" w:rsidRPr="001B7992" w:rsidRDefault="0090309E" w:rsidP="00B6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1843" w:type="dxa"/>
            <w:vAlign w:val="center"/>
          </w:tcPr>
          <w:p w:rsidR="0090309E" w:rsidRPr="001B7992" w:rsidRDefault="0090309E" w:rsidP="0090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0309E" w:rsidRPr="001B7992" w:rsidTr="009C5F4B">
        <w:tc>
          <w:tcPr>
            <w:tcW w:w="1888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309E" w:rsidRPr="001B7992" w:rsidRDefault="0090309E" w:rsidP="00B6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701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309E" w:rsidRPr="001B7992" w:rsidRDefault="0090309E" w:rsidP="00B6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843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9E" w:rsidRPr="001B7992" w:rsidTr="009C5F4B">
        <w:tc>
          <w:tcPr>
            <w:tcW w:w="1888" w:type="dxa"/>
            <w:vMerge w:val="restart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90309E" w:rsidRPr="001B7992" w:rsidRDefault="0090309E" w:rsidP="0090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90309E" w:rsidRPr="001B7992" w:rsidRDefault="0090309E" w:rsidP="00B6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1701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309E" w:rsidRPr="001B7992" w:rsidRDefault="0090309E" w:rsidP="00B6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1843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9E" w:rsidRPr="001B7992" w:rsidTr="009C5F4B">
        <w:tc>
          <w:tcPr>
            <w:tcW w:w="1888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309E" w:rsidRPr="001B7992" w:rsidRDefault="0090309E" w:rsidP="00B6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701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309E" w:rsidRPr="001B7992" w:rsidRDefault="0090309E" w:rsidP="00B6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843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9E" w:rsidRPr="001B7992" w:rsidTr="009C5F4B">
        <w:tc>
          <w:tcPr>
            <w:tcW w:w="1888" w:type="dxa"/>
            <w:vMerge w:val="restart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99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9E" w:rsidRPr="001B7992" w:rsidTr="009C5F4B">
        <w:tc>
          <w:tcPr>
            <w:tcW w:w="1888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309E" w:rsidRPr="001B7992" w:rsidRDefault="0090309E" w:rsidP="0036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178" w:rsidRPr="001B7992" w:rsidRDefault="007A5178" w:rsidP="0036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EE9" w:rsidRPr="001B7992" w:rsidRDefault="000A3EE9" w:rsidP="000A3EE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992">
        <w:rPr>
          <w:rFonts w:ascii="Times New Roman" w:hAnsi="Times New Roman" w:cs="Times New Roman"/>
          <w:sz w:val="20"/>
          <w:szCs w:val="20"/>
        </w:rPr>
        <w:t xml:space="preserve">&lt;1&gt; Графы 1-4, </w:t>
      </w:r>
      <w:r w:rsidR="00106741" w:rsidRPr="001B7992">
        <w:rPr>
          <w:rFonts w:ascii="Times New Roman" w:hAnsi="Times New Roman" w:cs="Times New Roman"/>
          <w:sz w:val="20"/>
          <w:szCs w:val="20"/>
        </w:rPr>
        <w:t>6</w:t>
      </w:r>
      <w:r w:rsidRPr="001B7992">
        <w:rPr>
          <w:rFonts w:ascii="Times New Roman" w:hAnsi="Times New Roman" w:cs="Times New Roman"/>
          <w:sz w:val="20"/>
          <w:szCs w:val="20"/>
        </w:rPr>
        <w:t xml:space="preserve"> заполняются в соответствии с одноименными столбцами паспорта налогового расхода Ленинградской области (приложение 2 к Порядку формирования перечня налоговых расходов Ленинградской области и осуществления оценки налоговых расходов Ленинградской области, утвержденного постановлением Правительства Ленинградской области от 15.11.2019 N 526).</w:t>
      </w:r>
    </w:p>
    <w:p w:rsidR="000A3EE9" w:rsidRPr="001B7992" w:rsidRDefault="000A3EE9" w:rsidP="000A3EE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992">
        <w:rPr>
          <w:rFonts w:ascii="Times New Roman" w:hAnsi="Times New Roman" w:cs="Times New Roman"/>
          <w:sz w:val="20"/>
          <w:szCs w:val="20"/>
        </w:rPr>
        <w:t>&lt;2&gt; Плановые значения граф</w:t>
      </w:r>
      <w:r w:rsidR="009C5F4B" w:rsidRPr="001B7992">
        <w:rPr>
          <w:rFonts w:ascii="Times New Roman" w:hAnsi="Times New Roman" w:cs="Times New Roman"/>
          <w:sz w:val="20"/>
          <w:szCs w:val="20"/>
        </w:rPr>
        <w:t xml:space="preserve"> 6-7</w:t>
      </w:r>
      <w:r w:rsidR="00D03ACA" w:rsidRPr="001B7992">
        <w:rPr>
          <w:rFonts w:ascii="Times New Roman" w:hAnsi="Times New Roman" w:cs="Times New Roman"/>
          <w:sz w:val="20"/>
          <w:szCs w:val="20"/>
        </w:rPr>
        <w:t xml:space="preserve"> </w:t>
      </w:r>
      <w:r w:rsidRPr="001B7992">
        <w:rPr>
          <w:rFonts w:ascii="Times New Roman" w:hAnsi="Times New Roman" w:cs="Times New Roman"/>
          <w:sz w:val="20"/>
          <w:szCs w:val="20"/>
        </w:rPr>
        <w:t>определяются на основании отчетных данных прошлых лет с учетом изменений (планируемых изменений) налогового законодательства и ожидаемых тенденций изменения численности плательщиков налогов, имеющих право на льготу.</w:t>
      </w:r>
      <w:r w:rsidR="009C5F4B" w:rsidRPr="001B7992">
        <w:rPr>
          <w:rFonts w:ascii="Times New Roman" w:hAnsi="Times New Roman" w:cs="Times New Roman"/>
          <w:sz w:val="20"/>
          <w:szCs w:val="20"/>
        </w:rPr>
        <w:t xml:space="preserve"> </w:t>
      </w:r>
      <w:r w:rsidR="00D03ACA" w:rsidRPr="001B7992">
        <w:rPr>
          <w:rFonts w:ascii="Times New Roman" w:hAnsi="Times New Roman" w:cs="Times New Roman"/>
          <w:sz w:val="20"/>
          <w:szCs w:val="20"/>
        </w:rPr>
        <w:t>Граф</w:t>
      </w:r>
      <w:r w:rsidR="0090309E" w:rsidRPr="001B7992">
        <w:rPr>
          <w:rFonts w:ascii="Times New Roman" w:hAnsi="Times New Roman" w:cs="Times New Roman"/>
          <w:sz w:val="20"/>
          <w:szCs w:val="20"/>
        </w:rPr>
        <w:t>ы</w:t>
      </w:r>
      <w:r w:rsidR="00D03ACA" w:rsidRPr="001B7992">
        <w:rPr>
          <w:rFonts w:ascii="Times New Roman" w:hAnsi="Times New Roman" w:cs="Times New Roman"/>
          <w:sz w:val="20"/>
          <w:szCs w:val="20"/>
        </w:rPr>
        <w:t xml:space="preserve"> 5</w:t>
      </w:r>
      <w:r w:rsidR="0090309E" w:rsidRPr="001B7992">
        <w:rPr>
          <w:rFonts w:ascii="Times New Roman" w:hAnsi="Times New Roman" w:cs="Times New Roman"/>
          <w:sz w:val="20"/>
          <w:szCs w:val="20"/>
        </w:rPr>
        <w:t>-7</w:t>
      </w:r>
      <w:r w:rsidR="00D03ACA" w:rsidRPr="001B7992">
        <w:rPr>
          <w:rFonts w:ascii="Times New Roman" w:hAnsi="Times New Roman" w:cs="Times New Roman"/>
          <w:sz w:val="20"/>
          <w:szCs w:val="20"/>
        </w:rPr>
        <w:t xml:space="preserve"> з</w:t>
      </w:r>
      <w:r w:rsidR="009C5F4B" w:rsidRPr="001B7992">
        <w:rPr>
          <w:rFonts w:ascii="Times New Roman" w:hAnsi="Times New Roman" w:cs="Times New Roman"/>
          <w:sz w:val="20"/>
          <w:szCs w:val="20"/>
        </w:rPr>
        <w:t>аполня</w:t>
      </w:r>
      <w:r w:rsidR="0090309E" w:rsidRPr="001B7992">
        <w:rPr>
          <w:rFonts w:ascii="Times New Roman" w:hAnsi="Times New Roman" w:cs="Times New Roman"/>
          <w:sz w:val="20"/>
          <w:szCs w:val="20"/>
        </w:rPr>
        <w:t>ю</w:t>
      </w:r>
      <w:r w:rsidR="009C5F4B" w:rsidRPr="001B7992">
        <w:rPr>
          <w:rFonts w:ascii="Times New Roman" w:hAnsi="Times New Roman" w:cs="Times New Roman"/>
          <w:sz w:val="20"/>
          <w:szCs w:val="20"/>
        </w:rPr>
        <w:t>тся до конца реализации государственной программы.</w:t>
      </w:r>
    </w:p>
    <w:p w:rsidR="00CA7771" w:rsidRPr="001B7992" w:rsidRDefault="000A3EE9" w:rsidP="00457B0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992">
        <w:rPr>
          <w:rFonts w:ascii="Times New Roman" w:hAnsi="Times New Roman" w:cs="Times New Roman"/>
          <w:sz w:val="20"/>
          <w:szCs w:val="20"/>
        </w:rPr>
        <w:t xml:space="preserve">&lt;3&gt; </w:t>
      </w:r>
      <w:r w:rsidR="009C5F4B" w:rsidRPr="001B7992">
        <w:rPr>
          <w:rFonts w:ascii="Times New Roman" w:hAnsi="Times New Roman" w:cs="Times New Roman"/>
          <w:sz w:val="20"/>
          <w:szCs w:val="20"/>
        </w:rPr>
        <w:t>Фактическое значение с</w:t>
      </w:r>
      <w:r w:rsidRPr="001B7992">
        <w:rPr>
          <w:rFonts w:ascii="Times New Roman" w:hAnsi="Times New Roman" w:cs="Times New Roman"/>
          <w:sz w:val="20"/>
          <w:szCs w:val="20"/>
        </w:rPr>
        <w:t>оответствует графе 13 паспорта налогового расхода Ленинградской области – «объем налоговых льгот за отчетный финансовый год (</w:t>
      </w:r>
      <w:proofErr w:type="spellStart"/>
      <w:r w:rsidRPr="001B799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1B799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B7992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1B7992">
        <w:rPr>
          <w:rFonts w:ascii="Times New Roman" w:hAnsi="Times New Roman" w:cs="Times New Roman"/>
          <w:sz w:val="20"/>
          <w:szCs w:val="20"/>
        </w:rPr>
        <w:t>)».</w:t>
      </w:r>
      <w:bookmarkStart w:id="0" w:name="_GoBack"/>
      <w:bookmarkEnd w:id="0"/>
    </w:p>
    <w:p w:rsidR="003C0B8A" w:rsidRPr="001B7992" w:rsidRDefault="003C0B8A" w:rsidP="003C0B8A">
      <w:pPr>
        <w:pStyle w:val="a4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8"/>
          <w:szCs w:val="28"/>
        </w:rPr>
      </w:pPr>
    </w:p>
    <w:p w:rsidR="00866AEA" w:rsidRPr="001B7992" w:rsidRDefault="003C0B8A" w:rsidP="009030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1B7992">
        <w:rPr>
          <w:rFonts w:ascii="Times New Roman" w:hAnsi="Times New Roman" w:cs="Times New Roman"/>
          <w:sz w:val="28"/>
          <w:szCs w:val="28"/>
        </w:rPr>
        <w:t>Таблицу 13 приложения 1 к Методическим ук</w:t>
      </w:r>
      <w:r w:rsidR="00291F81">
        <w:rPr>
          <w:rFonts w:ascii="Times New Roman" w:hAnsi="Times New Roman" w:cs="Times New Roman"/>
          <w:sz w:val="28"/>
          <w:szCs w:val="28"/>
        </w:rPr>
        <w:t>а</w:t>
      </w:r>
      <w:r w:rsidR="008E09E4">
        <w:rPr>
          <w:rFonts w:ascii="Times New Roman" w:hAnsi="Times New Roman" w:cs="Times New Roman"/>
          <w:sz w:val="28"/>
          <w:szCs w:val="28"/>
        </w:rPr>
        <w:t>заниям исключить.</w:t>
      </w:r>
    </w:p>
    <w:sectPr w:rsidR="00866AEA" w:rsidRPr="001B7992" w:rsidSect="00104212">
      <w:pgSz w:w="16838" w:h="11906" w:orient="landscape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00C4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C65FF2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0"/>
    <w:rsid w:val="0001144D"/>
    <w:rsid w:val="00015E6B"/>
    <w:rsid w:val="00023CB9"/>
    <w:rsid w:val="00024D09"/>
    <w:rsid w:val="00024F6B"/>
    <w:rsid w:val="000259CC"/>
    <w:rsid w:val="00030C68"/>
    <w:rsid w:val="00065078"/>
    <w:rsid w:val="0007569A"/>
    <w:rsid w:val="00075D4F"/>
    <w:rsid w:val="00077542"/>
    <w:rsid w:val="0008219B"/>
    <w:rsid w:val="00083251"/>
    <w:rsid w:val="000938DE"/>
    <w:rsid w:val="000A3EE9"/>
    <w:rsid w:val="000B4CA4"/>
    <w:rsid w:val="000B5E66"/>
    <w:rsid w:val="000C09E5"/>
    <w:rsid w:val="000D21A0"/>
    <w:rsid w:val="000E5862"/>
    <w:rsid w:val="000F4415"/>
    <w:rsid w:val="00104212"/>
    <w:rsid w:val="00104B87"/>
    <w:rsid w:val="00106741"/>
    <w:rsid w:val="00114F9C"/>
    <w:rsid w:val="00125BD8"/>
    <w:rsid w:val="001260A3"/>
    <w:rsid w:val="001602DD"/>
    <w:rsid w:val="00160999"/>
    <w:rsid w:val="001A4A79"/>
    <w:rsid w:val="001B4243"/>
    <w:rsid w:val="001B6788"/>
    <w:rsid w:val="001B7992"/>
    <w:rsid w:val="001C2A34"/>
    <w:rsid w:val="001C3E1E"/>
    <w:rsid w:val="001D1AA6"/>
    <w:rsid w:val="001E3351"/>
    <w:rsid w:val="001E4826"/>
    <w:rsid w:val="001F3C1D"/>
    <w:rsid w:val="00201983"/>
    <w:rsid w:val="00207449"/>
    <w:rsid w:val="00215FAF"/>
    <w:rsid w:val="0022439D"/>
    <w:rsid w:val="00250F39"/>
    <w:rsid w:val="002523D6"/>
    <w:rsid w:val="00256468"/>
    <w:rsid w:val="0026441E"/>
    <w:rsid w:val="00270679"/>
    <w:rsid w:val="00271A2B"/>
    <w:rsid w:val="00271B90"/>
    <w:rsid w:val="00273A4E"/>
    <w:rsid w:val="00280B82"/>
    <w:rsid w:val="00287C30"/>
    <w:rsid w:val="00291F81"/>
    <w:rsid w:val="002B098A"/>
    <w:rsid w:val="002B61EC"/>
    <w:rsid w:val="002C0B7C"/>
    <w:rsid w:val="002C5093"/>
    <w:rsid w:val="002D54EC"/>
    <w:rsid w:val="00316D9A"/>
    <w:rsid w:val="00323020"/>
    <w:rsid w:val="00325715"/>
    <w:rsid w:val="003308B8"/>
    <w:rsid w:val="00332DF8"/>
    <w:rsid w:val="003373A2"/>
    <w:rsid w:val="00340EEF"/>
    <w:rsid w:val="00340F29"/>
    <w:rsid w:val="00346EA2"/>
    <w:rsid w:val="003571F5"/>
    <w:rsid w:val="003650BF"/>
    <w:rsid w:val="003752F6"/>
    <w:rsid w:val="003847D7"/>
    <w:rsid w:val="0039030E"/>
    <w:rsid w:val="003910B8"/>
    <w:rsid w:val="003B076F"/>
    <w:rsid w:val="003B6DD9"/>
    <w:rsid w:val="003C0B8A"/>
    <w:rsid w:val="003E4C2C"/>
    <w:rsid w:val="0040220A"/>
    <w:rsid w:val="00434992"/>
    <w:rsid w:val="00435EFD"/>
    <w:rsid w:val="00457B0D"/>
    <w:rsid w:val="00460BA8"/>
    <w:rsid w:val="004853B1"/>
    <w:rsid w:val="004925A6"/>
    <w:rsid w:val="004A1108"/>
    <w:rsid w:val="004A27EF"/>
    <w:rsid w:val="004C091F"/>
    <w:rsid w:val="004C767D"/>
    <w:rsid w:val="004D3474"/>
    <w:rsid w:val="004D6A7D"/>
    <w:rsid w:val="004E756C"/>
    <w:rsid w:val="00513DF6"/>
    <w:rsid w:val="00527BCD"/>
    <w:rsid w:val="0053419F"/>
    <w:rsid w:val="005469F6"/>
    <w:rsid w:val="00583C3A"/>
    <w:rsid w:val="005A5927"/>
    <w:rsid w:val="005C1F25"/>
    <w:rsid w:val="005F3093"/>
    <w:rsid w:val="00606A1F"/>
    <w:rsid w:val="00617056"/>
    <w:rsid w:val="00634FE2"/>
    <w:rsid w:val="00635546"/>
    <w:rsid w:val="00635632"/>
    <w:rsid w:val="00645FAE"/>
    <w:rsid w:val="00646DC8"/>
    <w:rsid w:val="00650B52"/>
    <w:rsid w:val="00651756"/>
    <w:rsid w:val="00653391"/>
    <w:rsid w:val="00666A62"/>
    <w:rsid w:val="00667ECA"/>
    <w:rsid w:val="0067341E"/>
    <w:rsid w:val="00685B8C"/>
    <w:rsid w:val="00690E61"/>
    <w:rsid w:val="00696F2D"/>
    <w:rsid w:val="006A6AC8"/>
    <w:rsid w:val="006D17CC"/>
    <w:rsid w:val="006D2680"/>
    <w:rsid w:val="006E721C"/>
    <w:rsid w:val="006F6E20"/>
    <w:rsid w:val="00700182"/>
    <w:rsid w:val="007069F2"/>
    <w:rsid w:val="00723472"/>
    <w:rsid w:val="007349D6"/>
    <w:rsid w:val="00753A66"/>
    <w:rsid w:val="00755DEE"/>
    <w:rsid w:val="007643D5"/>
    <w:rsid w:val="007A2765"/>
    <w:rsid w:val="007A5178"/>
    <w:rsid w:val="007A7211"/>
    <w:rsid w:val="007C00EC"/>
    <w:rsid w:val="007C317E"/>
    <w:rsid w:val="007F1F57"/>
    <w:rsid w:val="007F4193"/>
    <w:rsid w:val="00805EAB"/>
    <w:rsid w:val="00814F64"/>
    <w:rsid w:val="0083177F"/>
    <w:rsid w:val="008644CE"/>
    <w:rsid w:val="00866AEA"/>
    <w:rsid w:val="0087644A"/>
    <w:rsid w:val="00891D35"/>
    <w:rsid w:val="00892271"/>
    <w:rsid w:val="008A6085"/>
    <w:rsid w:val="008B0318"/>
    <w:rsid w:val="008C15F2"/>
    <w:rsid w:val="008C4146"/>
    <w:rsid w:val="008C564B"/>
    <w:rsid w:val="008E09E4"/>
    <w:rsid w:val="0090309E"/>
    <w:rsid w:val="009075B8"/>
    <w:rsid w:val="00911E6A"/>
    <w:rsid w:val="00920769"/>
    <w:rsid w:val="00937043"/>
    <w:rsid w:val="0094228A"/>
    <w:rsid w:val="00944AEB"/>
    <w:rsid w:val="00952F51"/>
    <w:rsid w:val="00970FE1"/>
    <w:rsid w:val="009A1189"/>
    <w:rsid w:val="009A13EB"/>
    <w:rsid w:val="009B218B"/>
    <w:rsid w:val="009C3A92"/>
    <w:rsid w:val="009C5F4B"/>
    <w:rsid w:val="009D2229"/>
    <w:rsid w:val="009E72CA"/>
    <w:rsid w:val="00A05836"/>
    <w:rsid w:val="00A17245"/>
    <w:rsid w:val="00A20276"/>
    <w:rsid w:val="00A25D68"/>
    <w:rsid w:val="00A51997"/>
    <w:rsid w:val="00A54B19"/>
    <w:rsid w:val="00A73FCF"/>
    <w:rsid w:val="00A77B00"/>
    <w:rsid w:val="00A878B6"/>
    <w:rsid w:val="00A9234A"/>
    <w:rsid w:val="00A96115"/>
    <w:rsid w:val="00AA2F80"/>
    <w:rsid w:val="00AB0338"/>
    <w:rsid w:val="00AC06BA"/>
    <w:rsid w:val="00AE2E47"/>
    <w:rsid w:val="00B00C20"/>
    <w:rsid w:val="00B112A5"/>
    <w:rsid w:val="00B251F3"/>
    <w:rsid w:val="00B369A6"/>
    <w:rsid w:val="00B44D16"/>
    <w:rsid w:val="00B507CF"/>
    <w:rsid w:val="00B560CD"/>
    <w:rsid w:val="00B80873"/>
    <w:rsid w:val="00B94ADB"/>
    <w:rsid w:val="00B9504B"/>
    <w:rsid w:val="00BA0A2C"/>
    <w:rsid w:val="00BA64CA"/>
    <w:rsid w:val="00BA7755"/>
    <w:rsid w:val="00BB2440"/>
    <w:rsid w:val="00BC0BC4"/>
    <w:rsid w:val="00BC713B"/>
    <w:rsid w:val="00BD0AF9"/>
    <w:rsid w:val="00BD3A9D"/>
    <w:rsid w:val="00BD46E8"/>
    <w:rsid w:val="00BF7535"/>
    <w:rsid w:val="00C15B2C"/>
    <w:rsid w:val="00C43797"/>
    <w:rsid w:val="00C45A09"/>
    <w:rsid w:val="00C54C5A"/>
    <w:rsid w:val="00C76308"/>
    <w:rsid w:val="00CA05AD"/>
    <w:rsid w:val="00CA4EFD"/>
    <w:rsid w:val="00CA74D5"/>
    <w:rsid w:val="00CA7771"/>
    <w:rsid w:val="00CD1585"/>
    <w:rsid w:val="00CE7C0D"/>
    <w:rsid w:val="00CF12B9"/>
    <w:rsid w:val="00D03ACA"/>
    <w:rsid w:val="00D20300"/>
    <w:rsid w:val="00D20458"/>
    <w:rsid w:val="00D54C7D"/>
    <w:rsid w:val="00D82853"/>
    <w:rsid w:val="00D855BA"/>
    <w:rsid w:val="00DC030F"/>
    <w:rsid w:val="00DD4BAB"/>
    <w:rsid w:val="00DE45BD"/>
    <w:rsid w:val="00DE571F"/>
    <w:rsid w:val="00DF04E8"/>
    <w:rsid w:val="00DF6F3F"/>
    <w:rsid w:val="00E00C2A"/>
    <w:rsid w:val="00E45B4E"/>
    <w:rsid w:val="00E57A1A"/>
    <w:rsid w:val="00E77834"/>
    <w:rsid w:val="00E8142A"/>
    <w:rsid w:val="00E8353D"/>
    <w:rsid w:val="00E90738"/>
    <w:rsid w:val="00E9782A"/>
    <w:rsid w:val="00EA4508"/>
    <w:rsid w:val="00EB0CED"/>
    <w:rsid w:val="00EB20CE"/>
    <w:rsid w:val="00EC5798"/>
    <w:rsid w:val="00EC729D"/>
    <w:rsid w:val="00ED2FB1"/>
    <w:rsid w:val="00EE7C08"/>
    <w:rsid w:val="00EF3DED"/>
    <w:rsid w:val="00EF6E7C"/>
    <w:rsid w:val="00F00383"/>
    <w:rsid w:val="00F138EB"/>
    <w:rsid w:val="00F14ED2"/>
    <w:rsid w:val="00F34FC6"/>
    <w:rsid w:val="00F35191"/>
    <w:rsid w:val="00F57C8E"/>
    <w:rsid w:val="00F61DCD"/>
    <w:rsid w:val="00F71EAC"/>
    <w:rsid w:val="00F97337"/>
    <w:rsid w:val="00FA0F64"/>
    <w:rsid w:val="00FA22D4"/>
    <w:rsid w:val="00FA4E6F"/>
    <w:rsid w:val="00FB442B"/>
    <w:rsid w:val="00FC0A84"/>
    <w:rsid w:val="00FC1059"/>
    <w:rsid w:val="00FC33F1"/>
    <w:rsid w:val="00FD29DC"/>
    <w:rsid w:val="00FF26C8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5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75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C1F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1F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1F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1F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1F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5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75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C1F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1F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1F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1F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1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8FCC-7929-429A-8698-F6F0D8D8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Таллер</dc:creator>
  <cp:lastModifiedBy>Андрей Сергеевич ОРЛОВ</cp:lastModifiedBy>
  <cp:revision>53</cp:revision>
  <cp:lastPrinted>2020-06-15T07:53:00Z</cp:lastPrinted>
  <dcterms:created xsi:type="dcterms:W3CDTF">2020-06-29T14:02:00Z</dcterms:created>
  <dcterms:modified xsi:type="dcterms:W3CDTF">2020-06-29T15:49:00Z</dcterms:modified>
</cp:coreProperties>
</file>