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4" w:rsidRPr="00D545E2" w:rsidRDefault="003C3214" w:rsidP="00324F00">
      <w:pPr>
        <w:pStyle w:val="ConsPlusTitlePage"/>
        <w:spacing w:line="276" w:lineRule="auto"/>
        <w:rPr>
          <w:sz w:val="28"/>
          <w:szCs w:val="28"/>
        </w:rPr>
      </w:pPr>
      <w:r w:rsidRPr="00D545E2">
        <w:rPr>
          <w:sz w:val="28"/>
          <w:szCs w:val="28"/>
        </w:rPr>
        <w:br/>
      </w:r>
    </w:p>
    <w:p w:rsidR="003C3214" w:rsidRPr="00D545E2" w:rsidRDefault="003C3214" w:rsidP="00324F00">
      <w:pPr>
        <w:pStyle w:val="ConsPlusNormal"/>
        <w:spacing w:line="276" w:lineRule="auto"/>
        <w:outlineLvl w:val="0"/>
        <w:rPr>
          <w:sz w:val="28"/>
          <w:szCs w:val="28"/>
        </w:rPr>
      </w:pPr>
    </w:p>
    <w:p w:rsidR="00D545E2" w:rsidRPr="00324F00" w:rsidRDefault="00D545E2" w:rsidP="00324F00">
      <w:pPr>
        <w:spacing w:after="0"/>
        <w:ind w:firstLine="709"/>
        <w:jc w:val="center"/>
        <w:rPr>
          <w:rFonts w:eastAsia="Calibri"/>
          <w:sz w:val="28"/>
          <w:szCs w:val="28"/>
        </w:rPr>
      </w:pPr>
      <w:r w:rsidRPr="00324F00">
        <w:rPr>
          <w:noProof/>
          <w:sz w:val="28"/>
          <w:szCs w:val="28"/>
          <w:lang w:eastAsia="ru-RU"/>
        </w:rPr>
        <w:drawing>
          <wp:inline distT="0" distB="0" distL="0" distR="0" wp14:anchorId="71D37753" wp14:editId="5895A39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E2" w:rsidRPr="00324F00" w:rsidRDefault="00D545E2" w:rsidP="00324F0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5E2" w:rsidRPr="00324F00" w:rsidRDefault="00D545E2" w:rsidP="00324F0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F00">
        <w:rPr>
          <w:rFonts w:ascii="Times New Roman" w:eastAsia="Calibri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D545E2" w:rsidRPr="00324F00" w:rsidRDefault="00D545E2" w:rsidP="00324F0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5E2" w:rsidRPr="00324F00" w:rsidRDefault="00D545E2" w:rsidP="00324F0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F0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545E2" w:rsidRPr="00324F00" w:rsidRDefault="00D545E2" w:rsidP="00324F0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5E2" w:rsidRPr="00324F00" w:rsidRDefault="00D545E2" w:rsidP="00324F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4F00">
        <w:rPr>
          <w:rFonts w:ascii="Times New Roman" w:eastAsia="Calibri" w:hAnsi="Times New Roman" w:cs="Times New Roman"/>
          <w:sz w:val="28"/>
          <w:szCs w:val="28"/>
        </w:rPr>
        <w:t>« __ » ________  2020 г.</w:t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</w:r>
      <w:r w:rsidRPr="00324F00">
        <w:rPr>
          <w:rFonts w:ascii="Times New Roman" w:eastAsia="Calibri" w:hAnsi="Times New Roman" w:cs="Times New Roman"/>
          <w:sz w:val="28"/>
          <w:szCs w:val="28"/>
        </w:rPr>
        <w:tab/>
        <w:t xml:space="preserve">        № ____</w:t>
      </w:r>
    </w:p>
    <w:p w:rsidR="00D545E2" w:rsidRPr="00324F00" w:rsidRDefault="00D545E2" w:rsidP="00324F0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3C3214" w:rsidRPr="00324F00" w:rsidRDefault="003C3214" w:rsidP="00324F00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3C3214" w:rsidRPr="00324F00" w:rsidRDefault="003C3214" w:rsidP="00324F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06AC" w:rsidRPr="00324F00">
        <w:rPr>
          <w:rFonts w:ascii="Times New Roman" w:hAnsi="Times New Roman" w:cs="Times New Roman"/>
          <w:sz w:val="28"/>
          <w:szCs w:val="28"/>
        </w:rPr>
        <w:t>ПОЛОЖЕНИЯ О ПОРЯДКЕ УСТАНОВЛЕНИЯ СТИМУЛИРУЮЩИХ ВЫПЛАТ ДИРЕКТОРУ</w:t>
      </w:r>
      <w:r w:rsidRPr="00324F00">
        <w:rPr>
          <w:rFonts w:ascii="Times New Roman" w:hAnsi="Times New Roman" w:cs="Times New Roman"/>
          <w:sz w:val="28"/>
          <w:szCs w:val="28"/>
        </w:rPr>
        <w:t xml:space="preserve"> </w:t>
      </w:r>
      <w:r w:rsidR="00B806AC" w:rsidRPr="00324F00">
        <w:rPr>
          <w:rFonts w:ascii="Times New Roman" w:hAnsi="Times New Roman" w:cs="Times New Roman"/>
          <w:sz w:val="28"/>
          <w:szCs w:val="28"/>
        </w:rPr>
        <w:t xml:space="preserve"> </w:t>
      </w:r>
      <w:r w:rsidRPr="00324F0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</w:t>
      </w:r>
    </w:p>
    <w:p w:rsidR="003C3214" w:rsidRPr="00324F00" w:rsidRDefault="00D545E2" w:rsidP="00324F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«</w:t>
      </w:r>
      <w:r w:rsidR="003C3214" w:rsidRPr="00324F00">
        <w:rPr>
          <w:rFonts w:ascii="Times New Roman" w:hAnsi="Times New Roman" w:cs="Times New Roman"/>
          <w:sz w:val="28"/>
          <w:szCs w:val="28"/>
        </w:rPr>
        <w:t>ЦЕНТР ЭНЕРГОСБЕРЕЖЕНИЯ И ПОВЫШЕНИЯ ЭНЕРГОЭФФЕКТИВНОСТИ</w:t>
      </w:r>
    </w:p>
    <w:p w:rsidR="003C3214" w:rsidRPr="00324F00" w:rsidRDefault="00D545E2" w:rsidP="00324F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B806AC" w:rsidRPr="00324F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06AC" w:rsidRPr="00324F00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="00B806AC" w:rsidRPr="00324F00">
        <w:rPr>
          <w:rFonts w:ascii="Times New Roman" w:hAnsi="Times New Roman" w:cs="Times New Roman"/>
          <w:sz w:val="28"/>
          <w:szCs w:val="28"/>
        </w:rPr>
        <w:t xml:space="preserve"> КОМИТЕТУ ПО ТОПЛИВНО-ЭНЕРГЕТИЧЕСКОМУ КОМПЛЕКСУ ЛЕНИНГРАДСКОЙ ОБЛАСТИ</w:t>
      </w:r>
    </w:p>
    <w:p w:rsidR="003C3214" w:rsidRPr="00324F00" w:rsidRDefault="003C3214" w:rsidP="00324F0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806AC" w:rsidRDefault="00B806AC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324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2020 года N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24F00" w:rsidRPr="00324F00" w:rsidRDefault="00324F00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AC" w:rsidRPr="00324F00" w:rsidRDefault="00B806AC" w:rsidP="00324F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F0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3" w:history="1">
        <w:r w:rsidRPr="00324F0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24F00">
        <w:rPr>
          <w:rFonts w:ascii="Times New Roman" w:hAnsi="Times New Roman" w:cs="Times New Roman"/>
          <w:b w:val="0"/>
          <w:sz w:val="28"/>
          <w:szCs w:val="28"/>
        </w:rPr>
        <w:t xml:space="preserve"> о порядке установления стимулирующих выплат директору государственного казенного учреждения Ленинградской области «Центр энергосбережения и повышения </w:t>
      </w:r>
      <w:proofErr w:type="spellStart"/>
      <w:r w:rsidRPr="00324F00">
        <w:rPr>
          <w:rFonts w:ascii="Times New Roman" w:hAnsi="Times New Roman" w:cs="Times New Roman"/>
          <w:b w:val="0"/>
          <w:sz w:val="28"/>
          <w:szCs w:val="28"/>
        </w:rPr>
        <w:t>энергоэффе</w:t>
      </w:r>
      <w:r w:rsidR="00D545E2" w:rsidRPr="00324F00">
        <w:rPr>
          <w:rFonts w:ascii="Times New Roman" w:hAnsi="Times New Roman" w:cs="Times New Roman"/>
          <w:b w:val="0"/>
          <w:sz w:val="28"/>
          <w:szCs w:val="28"/>
        </w:rPr>
        <w:t>ктивности</w:t>
      </w:r>
      <w:proofErr w:type="spellEnd"/>
      <w:r w:rsidR="00D545E2" w:rsidRPr="00324F00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области»</w:t>
      </w:r>
      <w:r w:rsidRPr="00324F00">
        <w:rPr>
          <w:rFonts w:ascii="Times New Roman" w:hAnsi="Times New Roman" w:cs="Times New Roman"/>
          <w:b w:val="0"/>
          <w:sz w:val="28"/>
          <w:szCs w:val="28"/>
        </w:rPr>
        <w:t>, подведомственного комитету по топливно-энергетическому комплексу Ленинградской области».</w:t>
      </w:r>
    </w:p>
    <w:p w:rsidR="00E12E2C" w:rsidRPr="00324F00" w:rsidRDefault="00B806AC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8" w:history="1">
        <w:r w:rsidRPr="00324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топливно-энергетическому комплексу Ленинградской области  от 27 февраля 2014 года №1 «Об утверждении Положения о порядке установления стимулирующих выплат директору государственного казенного учреждения Ленинградской области «Центр энергосбережения и повышения </w:t>
      </w:r>
      <w:proofErr w:type="spell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бласти»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подведомственного комитету по топливно-энергетическому комплексу Ленинградской области».</w:t>
      </w:r>
    </w:p>
    <w:p w:rsidR="00E12E2C" w:rsidRPr="00324F00" w:rsidRDefault="00E12E2C" w:rsidP="00324F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4F00">
        <w:rPr>
          <w:rFonts w:ascii="Times New Roman" w:hAnsi="Times New Roman" w:cs="Times New Roman"/>
          <w:sz w:val="28"/>
          <w:szCs w:val="28"/>
        </w:rPr>
        <w:t xml:space="preserve">Настоящий приказ распространяет свое действие на правоотношения, возникшие с 1 августа 2020 года. </w:t>
      </w:r>
    </w:p>
    <w:p w:rsidR="00F232FD" w:rsidRDefault="00E12E2C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06A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06A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06A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F00" w:rsidRPr="00324F00" w:rsidRDefault="00324F00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FD" w:rsidRPr="00324F00" w:rsidRDefault="00F232FD" w:rsidP="00324F0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3214" w:rsidRPr="00324F00" w:rsidRDefault="003C3214" w:rsidP="00324F0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806AC" w:rsidRPr="0032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71D2F" w:rsidRPr="00324F00">
        <w:rPr>
          <w:rFonts w:ascii="Times New Roman" w:hAnsi="Times New Roman" w:cs="Times New Roman"/>
          <w:sz w:val="28"/>
          <w:szCs w:val="28"/>
        </w:rPr>
        <w:t>Ю</w:t>
      </w:r>
      <w:r w:rsidRPr="00324F00">
        <w:rPr>
          <w:rFonts w:ascii="Times New Roman" w:hAnsi="Times New Roman" w:cs="Times New Roman"/>
          <w:sz w:val="28"/>
          <w:szCs w:val="28"/>
        </w:rPr>
        <w:t>.В.</w:t>
      </w:r>
      <w:r w:rsidR="00E71D2F" w:rsidRPr="00324F00">
        <w:rPr>
          <w:rFonts w:ascii="Times New Roman" w:hAnsi="Times New Roman" w:cs="Times New Roman"/>
          <w:sz w:val="28"/>
          <w:szCs w:val="28"/>
        </w:rPr>
        <w:t xml:space="preserve"> Андреев</w:t>
      </w:r>
    </w:p>
    <w:p w:rsidR="003C3214" w:rsidRPr="00324F00" w:rsidRDefault="003C3214" w:rsidP="00324F0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3214" w:rsidRPr="00324F00" w:rsidRDefault="003C3214" w:rsidP="00324F00">
      <w:pPr>
        <w:pStyle w:val="ConsPlusNormal"/>
        <w:spacing w:line="276" w:lineRule="auto"/>
        <w:ind w:firstLine="540"/>
        <w:jc w:val="both"/>
        <w:rPr>
          <w:sz w:val="28"/>
          <w:szCs w:val="28"/>
        </w:rPr>
        <w:sectPr w:rsidR="003C3214" w:rsidRPr="00324F00" w:rsidSect="003C3214">
          <w:pgSz w:w="11906" w:h="16838" w:code="9"/>
          <w:pgMar w:top="851" w:right="964" w:bottom="851" w:left="964" w:header="709" w:footer="709" w:gutter="0"/>
          <w:cols w:space="708"/>
          <w:docGrid w:linePitch="360"/>
        </w:sectPr>
      </w:pPr>
    </w:p>
    <w:p w:rsidR="003C3214" w:rsidRPr="00324F00" w:rsidRDefault="003C3214" w:rsidP="00324F0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3214" w:rsidRPr="00324F00" w:rsidRDefault="003C3214" w:rsidP="00324F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3C3214" w:rsidRPr="00324F00" w:rsidRDefault="003C3214" w:rsidP="00324F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</w:p>
    <w:p w:rsidR="003C3214" w:rsidRPr="00324F00" w:rsidRDefault="003C3214" w:rsidP="00324F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</w:p>
    <w:p w:rsidR="003C3214" w:rsidRPr="00324F00" w:rsidRDefault="003C3214" w:rsidP="00324F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 xml:space="preserve">от </w:t>
      </w:r>
      <w:r w:rsidR="007110C8" w:rsidRPr="00324F00">
        <w:rPr>
          <w:rFonts w:ascii="Times New Roman" w:hAnsi="Times New Roman" w:cs="Times New Roman"/>
          <w:sz w:val="28"/>
          <w:szCs w:val="28"/>
        </w:rPr>
        <w:t xml:space="preserve">     </w:t>
      </w:r>
      <w:r w:rsidRPr="00324F00">
        <w:rPr>
          <w:rFonts w:ascii="Times New Roman" w:hAnsi="Times New Roman" w:cs="Times New Roman"/>
          <w:sz w:val="28"/>
          <w:szCs w:val="28"/>
        </w:rPr>
        <w:t>.</w:t>
      </w:r>
      <w:r w:rsidR="007110C8" w:rsidRPr="00324F00">
        <w:rPr>
          <w:rFonts w:ascii="Times New Roman" w:hAnsi="Times New Roman" w:cs="Times New Roman"/>
          <w:sz w:val="28"/>
          <w:szCs w:val="28"/>
        </w:rPr>
        <w:t xml:space="preserve">  </w:t>
      </w:r>
      <w:r w:rsidRPr="00324F00">
        <w:rPr>
          <w:rFonts w:ascii="Times New Roman" w:hAnsi="Times New Roman" w:cs="Times New Roman"/>
          <w:sz w:val="28"/>
          <w:szCs w:val="28"/>
        </w:rPr>
        <w:t>.</w:t>
      </w:r>
      <w:r w:rsidR="007110C8" w:rsidRPr="00324F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4F00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1C2984" w:rsidRPr="00324F00" w:rsidRDefault="001C2984" w:rsidP="00324F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00">
        <w:rPr>
          <w:rFonts w:ascii="Times New Roman" w:hAnsi="Times New Roman" w:cs="Times New Roman"/>
          <w:sz w:val="28"/>
          <w:szCs w:val="28"/>
        </w:rPr>
        <w:t>ПОЛОЖЕНИ</w:t>
      </w:r>
      <w:r w:rsidR="00E31CB8" w:rsidRPr="00324F00">
        <w:rPr>
          <w:rFonts w:ascii="Times New Roman" w:hAnsi="Times New Roman" w:cs="Times New Roman"/>
          <w:sz w:val="28"/>
          <w:szCs w:val="28"/>
        </w:rPr>
        <w:t>Е</w:t>
      </w:r>
      <w:r w:rsidRPr="00324F00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ДИРЕКТОРУ  ГОСУДАРСТВЕННОГО КАЗЕННОГО УЧРЕЖДЕНИЯ ЛЕНИНГРАДСКОЙ ОБЛАСТИ "ЦЕНТР ЭНЕРГОСБЕРЕЖЕНИЯ И ПОВЫШЕНИЯ ЭНЕРГОЭФФЕКТИВНОСТИ ЛЕНИНГРАДСКОЙ ОБЛАСТИ", ПОДВЕДОМСТВЕННОГО КОМИТЕТУ ПО ТОПЛИВНО-ЭНЕРГЕТИЧЕСКОМУ КОМПЛЕКСУ ЛЕНИНГРАДСКОЙ ОБЛАСТИ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установления стимулирующих выплат директору государственного казенного учреждения Ленинградской области «Центр энергосбережения и повышения </w:t>
      </w:r>
      <w:proofErr w:type="spell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области"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5E2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комитету по топливно-энергетическому комплексу Ленинградской области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Положение,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омитет,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чреждение), разработано в соответствии с Трудовым </w:t>
      </w:r>
      <w:hyperlink r:id="rId9" w:history="1">
        <w:r w:rsidRPr="00324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 </w:t>
      </w:r>
      <w:hyperlink r:id="rId10" w:history="1">
        <w:r w:rsidRPr="00324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20 декабря 2019 года N 103-оз "Об оплате труда работников государственных учреждений Ленинградской области" и </w:t>
      </w:r>
      <w:hyperlink r:id="rId11" w:history="1">
        <w:r w:rsidRPr="00324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 апреля 2020 года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области".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перечень и размеры стимулирующих выплат, являющихся основанием для включения в трудовой догово</w:t>
      </w:r>
      <w:r w:rsidR="008B4A36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заключаемый с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и порядок их установления.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4" w:rsidRPr="00324F00" w:rsidRDefault="001C2984" w:rsidP="00324F0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установления стимулирующих выплат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Стимулирующие выплаты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устанавливаются из следующего перечня выплат: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премиальные выплаты по итогам работы;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премиальные выплаты за выполнение особо важных (срочных) работ;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премиальные выплаты к значимым датам (событиям).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Установление руководителю иных стимулирующих выплат,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вышеперечисленных, не допускается.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Премиальные выплаты по итогам работы </w:t>
      </w:r>
      <w:r w:rsidR="00C060C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Премиальные выплаты по итогам работы</w:t>
      </w:r>
      <w:r w:rsidR="00A13540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 периодичностью подведения итогов работы учреждения - ежемесячно, за календарный год.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Размер премиальных выплат по итогам работы определяется на основе критериев оценки деятельности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(далее - критерии оценки деятельности).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критериев оценки деятельности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его директора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разрезе основных направлений деятельности </w:t>
      </w:r>
      <w:r w:rsidR="006035E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критериев оценки деятельности и порядок определения размера премиальных выплат по итогам рабо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</w:t>
      </w:r>
      <w:r w:rsidR="00FD58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для директора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устанавливается нормативным правовым актом </w:t>
      </w:r>
      <w:r w:rsidR="00F232F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определения размера премиальных выплат по итогам работы устанавливается базовый размер преми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выплат по итогам работы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определяемый в процентном отношении к сумме должностного оклада, выплат по ставке заработной платы и выплат по повышающим коэффициентам к должностному окладу (далее </w:t>
      </w:r>
      <w:r w:rsidR="008B4A36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окладно</w:t>
      </w:r>
      <w:proofErr w:type="spellEnd"/>
      <w:r w:rsidR="008B4A36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ставочная часть заработной платы).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размер премиальных выплат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FD58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соответствует стопроцентному достижению всех плановых значений критериев оценки деятельности.</w:t>
      </w:r>
    </w:p>
    <w:p w:rsidR="00FD58EF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D58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spellEnd"/>
      <w:r w:rsidR="00FD58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значения критерия оценки деятельности размер премии подлежит сокращению. Размер премии уменьшается пропорционально набранной оценке исполнения каждого показателя в баллах.</w:t>
      </w:r>
    </w:p>
    <w:p w:rsidR="00FD58EF" w:rsidRPr="00324F00" w:rsidRDefault="00FD58EF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размера стимулирующей 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директору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производится в следующих случаях:</w:t>
      </w:r>
    </w:p>
    <w:p w:rsidR="00FD58EF" w:rsidRPr="00324F00" w:rsidRDefault="00FD58EF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внесения представления прокуратуры об устранении нарушений закон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обоснованным; внесения предписаний контрольных и надзорных органов об устранении выявленных нарушений законодательств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признанные обоснованными; </w:t>
      </w:r>
      <w:proofErr w:type="spellStart"/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транения</w:t>
      </w:r>
      <w:proofErr w:type="spellEnd"/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</w:t>
      </w:r>
      <w:r w:rsidR="00C2260B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проверок контрольных и надзорных органов – до 30 %;</w:t>
      </w:r>
    </w:p>
    <w:p w:rsidR="00FD58EF" w:rsidRPr="00324F00" w:rsidRDefault="00FD58EF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недостаточности средств на стимулирующие выплаты;</w:t>
      </w:r>
    </w:p>
    <w:p w:rsidR="00FD58EF" w:rsidRPr="00324F00" w:rsidRDefault="00FD58EF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бюджета, установленное по результатам 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контролирующих органов – до 100 %;</w:t>
      </w:r>
    </w:p>
    <w:p w:rsidR="00FD58EF" w:rsidRDefault="00FD58EF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наложение дисциплинар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взыскания на руководителя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за неисполнение или ненадлежащее исполнение по его вине возложенных на него функций и полномочий в отчетном периоде </w:t>
      </w:r>
      <w:r w:rsidR="00C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100 %;</w:t>
      </w:r>
    </w:p>
    <w:p w:rsidR="00CF5DD7" w:rsidRPr="00324F00" w:rsidRDefault="00CF5DD7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A4E">
        <w:rPr>
          <w:rFonts w:ascii="Times New Roman" w:hAnsi="Times New Roman" w:cs="Times New Roman"/>
          <w:sz w:val="28"/>
          <w:szCs w:val="28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</w:t>
      </w:r>
      <w:r w:rsidRPr="00C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100 %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8EF" w:rsidRPr="00324F00" w:rsidRDefault="00FD58EF" w:rsidP="00324F00">
      <w:pPr>
        <w:widowControl w:val="0"/>
        <w:autoSpaceDE w:val="0"/>
        <w:autoSpaceDN w:val="0"/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нанесение директором с</w:t>
      </w:r>
      <w:r w:rsidR="00324F00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воими действиями или бездействиями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материального ущерба 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чреждению – до 100%.  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Оценка фактического достижения плановых значений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деятельности, применяемых для определения размера премиальных выплат п</w:t>
      </w:r>
      <w:r w:rsidR="00F232F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работы для </w:t>
      </w:r>
      <w:r w:rsidR="005C422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8473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3FFE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8473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созданной при Комитете комиссией по установлению размера стимулирующих выплат директору Учреждения (далее – Комиссия)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3EF" w:rsidRPr="00324F00" w:rsidRDefault="008473EF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Установление размера стимулирующих выплат директору Учреждения производится 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на основании решения Комиссии, с учетом фактически отработанного времени в расчетном периоде, в которое не включаются:</w:t>
      </w:r>
    </w:p>
    <w:p w:rsidR="008473EF" w:rsidRPr="00324F00" w:rsidRDefault="008473EF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в очередном основном или дополнительном отпуске;</w:t>
      </w:r>
    </w:p>
    <w:p w:rsidR="008473EF" w:rsidRPr="00324F00" w:rsidRDefault="008473EF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нетрудоспособности;</w:t>
      </w:r>
    </w:p>
    <w:p w:rsidR="008473EF" w:rsidRPr="00324F00" w:rsidRDefault="008473EF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периоды, когда директор Учреждения фактически не работал, но за ним сохранялась средняя заработная плата. </w:t>
      </w:r>
    </w:p>
    <w:p w:rsidR="001C2984" w:rsidRPr="00324F00" w:rsidRDefault="008473EF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фактического достижения плановых значений критериев оценки деятельности</w:t>
      </w:r>
      <w:proofErr w:type="gramEnd"/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до сведения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</w:t>
      </w:r>
      <w:r w:rsidR="00F232F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73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Премиальные выплаты за выполнение ос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важных (срочных) работ для директора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F232F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осуществляются по решению </w:t>
      </w:r>
      <w:r w:rsidR="008473E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</w:p>
    <w:p w:rsidR="001C2984" w:rsidRPr="00324F00" w:rsidRDefault="008473EF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1C2984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премиальных выплат к значимым датам (событиям):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профессиональным праздникам;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юбилейным датам;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премиальных выплат к профессиональным праздникам, юбилейным датам определяется с учетом профессиональных достижений.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4" w:rsidRDefault="001C2984" w:rsidP="00324F0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предельные размеры оказания материальной помощи</w:t>
      </w:r>
    </w:p>
    <w:p w:rsidR="008C525B" w:rsidRPr="00324F00" w:rsidRDefault="008C525B" w:rsidP="00324F00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5554C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Размер дополнительной материальной помощи определяется правовым актом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</w:p>
    <w:p w:rsidR="001C298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выплаты дополнительной материальной помощи является письменное заявление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заверенное главным бухгалтером (старшим бухгалтером, бухгалтером)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подтверждающим наличие экономии фонда оплаты труда в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чреждении, и согласованн</w:t>
      </w:r>
      <w:r w:rsidR="00F232F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первым заместителем председателя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F1476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председателя 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омитета, 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курирующим</w:t>
      </w:r>
      <w:r w:rsidR="00F232FD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 приложением копий подтверждающих документов и утвержденное председателем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омитета.</w:t>
      </w:r>
      <w:proofErr w:type="gramEnd"/>
    </w:p>
    <w:p w:rsidR="003C3214" w:rsidRPr="00324F00" w:rsidRDefault="001C2984" w:rsidP="00324F00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Материальная помощь (в том числе дополнительная материальная помощь) устанавливается правовым актом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 производ</w:t>
      </w:r>
      <w:r w:rsidR="00375113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счет </w:t>
      </w:r>
      <w:proofErr w:type="gramStart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экономии фонда оплаты труда </w:t>
      </w:r>
      <w:r w:rsidR="001155FF"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proofErr w:type="gramEnd"/>
      <w:r w:rsidRPr="0032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3214" w:rsidRPr="00324F00" w:rsidSect="001C2984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14"/>
    <w:rsid w:val="000024D0"/>
    <w:rsid w:val="00026EAD"/>
    <w:rsid w:val="00033CCA"/>
    <w:rsid w:val="00042C6A"/>
    <w:rsid w:val="00042FF3"/>
    <w:rsid w:val="00043F90"/>
    <w:rsid w:val="00065F04"/>
    <w:rsid w:val="00072716"/>
    <w:rsid w:val="0009479E"/>
    <w:rsid w:val="000A2371"/>
    <w:rsid w:val="000A3380"/>
    <w:rsid w:val="000B2DCF"/>
    <w:rsid w:val="000C7FB9"/>
    <w:rsid w:val="000D5D70"/>
    <w:rsid w:val="000E12EC"/>
    <w:rsid w:val="000E395C"/>
    <w:rsid w:val="000E58D7"/>
    <w:rsid w:val="000E6846"/>
    <w:rsid w:val="000F405A"/>
    <w:rsid w:val="001155FF"/>
    <w:rsid w:val="00123693"/>
    <w:rsid w:val="00127D56"/>
    <w:rsid w:val="001336C0"/>
    <w:rsid w:val="00137165"/>
    <w:rsid w:val="00141B58"/>
    <w:rsid w:val="00150E16"/>
    <w:rsid w:val="0015618B"/>
    <w:rsid w:val="0016592F"/>
    <w:rsid w:val="00166782"/>
    <w:rsid w:val="00171EC8"/>
    <w:rsid w:val="001737A3"/>
    <w:rsid w:val="00175F1C"/>
    <w:rsid w:val="0017612B"/>
    <w:rsid w:val="0019129A"/>
    <w:rsid w:val="0019190D"/>
    <w:rsid w:val="00192A0A"/>
    <w:rsid w:val="001B02D3"/>
    <w:rsid w:val="001B377A"/>
    <w:rsid w:val="001B4143"/>
    <w:rsid w:val="001C0171"/>
    <w:rsid w:val="001C2984"/>
    <w:rsid w:val="001C3173"/>
    <w:rsid w:val="001D2A33"/>
    <w:rsid w:val="001E2D8B"/>
    <w:rsid w:val="0023250A"/>
    <w:rsid w:val="00233298"/>
    <w:rsid w:val="00251C53"/>
    <w:rsid w:val="00251FF5"/>
    <w:rsid w:val="00254E2D"/>
    <w:rsid w:val="002738B7"/>
    <w:rsid w:val="00281A69"/>
    <w:rsid w:val="0028291A"/>
    <w:rsid w:val="0028428F"/>
    <w:rsid w:val="002A35F4"/>
    <w:rsid w:val="002B314D"/>
    <w:rsid w:val="002C26F9"/>
    <w:rsid w:val="002D1D6D"/>
    <w:rsid w:val="002E4731"/>
    <w:rsid w:val="002F4022"/>
    <w:rsid w:val="00316095"/>
    <w:rsid w:val="00324F00"/>
    <w:rsid w:val="00325907"/>
    <w:rsid w:val="00325D43"/>
    <w:rsid w:val="00327D0D"/>
    <w:rsid w:val="00346804"/>
    <w:rsid w:val="00347B4F"/>
    <w:rsid w:val="00351172"/>
    <w:rsid w:val="00351682"/>
    <w:rsid w:val="00353995"/>
    <w:rsid w:val="00354180"/>
    <w:rsid w:val="00356750"/>
    <w:rsid w:val="00356BD6"/>
    <w:rsid w:val="0036221D"/>
    <w:rsid w:val="003626E1"/>
    <w:rsid w:val="00375113"/>
    <w:rsid w:val="003836F6"/>
    <w:rsid w:val="003866CE"/>
    <w:rsid w:val="00386C6B"/>
    <w:rsid w:val="0039112B"/>
    <w:rsid w:val="003A15CC"/>
    <w:rsid w:val="003B7BAD"/>
    <w:rsid w:val="003C0C1F"/>
    <w:rsid w:val="003C3214"/>
    <w:rsid w:val="003C57AA"/>
    <w:rsid w:val="003F7B6B"/>
    <w:rsid w:val="00402513"/>
    <w:rsid w:val="00412611"/>
    <w:rsid w:val="0042011F"/>
    <w:rsid w:val="00420AF5"/>
    <w:rsid w:val="00423C03"/>
    <w:rsid w:val="00424959"/>
    <w:rsid w:val="00430127"/>
    <w:rsid w:val="0043432D"/>
    <w:rsid w:val="00442980"/>
    <w:rsid w:val="00442AA5"/>
    <w:rsid w:val="004436DC"/>
    <w:rsid w:val="0045359C"/>
    <w:rsid w:val="00464111"/>
    <w:rsid w:val="00485036"/>
    <w:rsid w:val="00491104"/>
    <w:rsid w:val="00492438"/>
    <w:rsid w:val="004942CF"/>
    <w:rsid w:val="004A10BC"/>
    <w:rsid w:val="004B0219"/>
    <w:rsid w:val="004B18C7"/>
    <w:rsid w:val="004B23EF"/>
    <w:rsid w:val="004B3D19"/>
    <w:rsid w:val="004C614B"/>
    <w:rsid w:val="004D07DE"/>
    <w:rsid w:val="004D1BEF"/>
    <w:rsid w:val="004F1476"/>
    <w:rsid w:val="004F4ECC"/>
    <w:rsid w:val="004F6B2D"/>
    <w:rsid w:val="00502FCF"/>
    <w:rsid w:val="005078CB"/>
    <w:rsid w:val="00531924"/>
    <w:rsid w:val="00534B44"/>
    <w:rsid w:val="00554442"/>
    <w:rsid w:val="00567A89"/>
    <w:rsid w:val="0057745C"/>
    <w:rsid w:val="00577E70"/>
    <w:rsid w:val="005A0DA8"/>
    <w:rsid w:val="005A7C85"/>
    <w:rsid w:val="005C422D"/>
    <w:rsid w:val="005C4FAA"/>
    <w:rsid w:val="005C5B49"/>
    <w:rsid w:val="005C6855"/>
    <w:rsid w:val="005D1F20"/>
    <w:rsid w:val="005D3767"/>
    <w:rsid w:val="005D42E5"/>
    <w:rsid w:val="005F08F2"/>
    <w:rsid w:val="005F3F97"/>
    <w:rsid w:val="00601B42"/>
    <w:rsid w:val="006035EE"/>
    <w:rsid w:val="00614A2B"/>
    <w:rsid w:val="0061745F"/>
    <w:rsid w:val="00636801"/>
    <w:rsid w:val="00645113"/>
    <w:rsid w:val="00645304"/>
    <w:rsid w:val="006454CB"/>
    <w:rsid w:val="00655567"/>
    <w:rsid w:val="00656653"/>
    <w:rsid w:val="0066242E"/>
    <w:rsid w:val="00662D11"/>
    <w:rsid w:val="0066661F"/>
    <w:rsid w:val="00672448"/>
    <w:rsid w:val="0067375C"/>
    <w:rsid w:val="00682E5F"/>
    <w:rsid w:val="00685CCE"/>
    <w:rsid w:val="0069099D"/>
    <w:rsid w:val="00693D94"/>
    <w:rsid w:val="006C31D3"/>
    <w:rsid w:val="006D70FD"/>
    <w:rsid w:val="006F6AE1"/>
    <w:rsid w:val="00703718"/>
    <w:rsid w:val="00704FAF"/>
    <w:rsid w:val="007110C8"/>
    <w:rsid w:val="00712BC6"/>
    <w:rsid w:val="0072343B"/>
    <w:rsid w:val="00727033"/>
    <w:rsid w:val="00735890"/>
    <w:rsid w:val="007408E2"/>
    <w:rsid w:val="007411B9"/>
    <w:rsid w:val="0074756B"/>
    <w:rsid w:val="007544A7"/>
    <w:rsid w:val="00777E17"/>
    <w:rsid w:val="0078568B"/>
    <w:rsid w:val="00785B42"/>
    <w:rsid w:val="007862BF"/>
    <w:rsid w:val="00791739"/>
    <w:rsid w:val="007A6D3C"/>
    <w:rsid w:val="007B144C"/>
    <w:rsid w:val="007B6619"/>
    <w:rsid w:val="007B7634"/>
    <w:rsid w:val="007D6023"/>
    <w:rsid w:val="007D7B70"/>
    <w:rsid w:val="007F02DF"/>
    <w:rsid w:val="007F0964"/>
    <w:rsid w:val="007F13CD"/>
    <w:rsid w:val="007F6140"/>
    <w:rsid w:val="0080422A"/>
    <w:rsid w:val="00804500"/>
    <w:rsid w:val="00816AE5"/>
    <w:rsid w:val="008228BD"/>
    <w:rsid w:val="00822BAA"/>
    <w:rsid w:val="008237E3"/>
    <w:rsid w:val="008261E1"/>
    <w:rsid w:val="00830DE3"/>
    <w:rsid w:val="00840532"/>
    <w:rsid w:val="008473EF"/>
    <w:rsid w:val="0085038F"/>
    <w:rsid w:val="0085735D"/>
    <w:rsid w:val="00857D61"/>
    <w:rsid w:val="00860598"/>
    <w:rsid w:val="0088072B"/>
    <w:rsid w:val="00881C9B"/>
    <w:rsid w:val="00896D61"/>
    <w:rsid w:val="0089710F"/>
    <w:rsid w:val="008B45F9"/>
    <w:rsid w:val="008B4A36"/>
    <w:rsid w:val="008B6FA7"/>
    <w:rsid w:val="008C525B"/>
    <w:rsid w:val="008C6306"/>
    <w:rsid w:val="008D34D5"/>
    <w:rsid w:val="008D6E13"/>
    <w:rsid w:val="008E2DAA"/>
    <w:rsid w:val="008F2290"/>
    <w:rsid w:val="008F2E40"/>
    <w:rsid w:val="008F3FFE"/>
    <w:rsid w:val="00910330"/>
    <w:rsid w:val="00940A04"/>
    <w:rsid w:val="00952DE0"/>
    <w:rsid w:val="00957BC6"/>
    <w:rsid w:val="00963F8A"/>
    <w:rsid w:val="00972621"/>
    <w:rsid w:val="00974460"/>
    <w:rsid w:val="009749BE"/>
    <w:rsid w:val="00980CD2"/>
    <w:rsid w:val="00996209"/>
    <w:rsid w:val="00996C3A"/>
    <w:rsid w:val="009A55AC"/>
    <w:rsid w:val="009B7A55"/>
    <w:rsid w:val="009C25D3"/>
    <w:rsid w:val="009C303A"/>
    <w:rsid w:val="009C6BF9"/>
    <w:rsid w:val="009E2AF1"/>
    <w:rsid w:val="009E2CEC"/>
    <w:rsid w:val="009E7385"/>
    <w:rsid w:val="009F0854"/>
    <w:rsid w:val="009F71D5"/>
    <w:rsid w:val="00A02C92"/>
    <w:rsid w:val="00A04404"/>
    <w:rsid w:val="00A13540"/>
    <w:rsid w:val="00A23BE8"/>
    <w:rsid w:val="00A27CB0"/>
    <w:rsid w:val="00A27EFC"/>
    <w:rsid w:val="00A30966"/>
    <w:rsid w:val="00A36FAD"/>
    <w:rsid w:val="00A5360E"/>
    <w:rsid w:val="00A5554C"/>
    <w:rsid w:val="00A5789A"/>
    <w:rsid w:val="00A7169E"/>
    <w:rsid w:val="00A71EA9"/>
    <w:rsid w:val="00A77DEE"/>
    <w:rsid w:val="00A90119"/>
    <w:rsid w:val="00A92A97"/>
    <w:rsid w:val="00A961F7"/>
    <w:rsid w:val="00AA0A8B"/>
    <w:rsid w:val="00AC077B"/>
    <w:rsid w:val="00AD3691"/>
    <w:rsid w:val="00AD5841"/>
    <w:rsid w:val="00B05D49"/>
    <w:rsid w:val="00B13E30"/>
    <w:rsid w:val="00B147EC"/>
    <w:rsid w:val="00B159EA"/>
    <w:rsid w:val="00B15F3C"/>
    <w:rsid w:val="00B176FE"/>
    <w:rsid w:val="00B27692"/>
    <w:rsid w:val="00B31195"/>
    <w:rsid w:val="00B67208"/>
    <w:rsid w:val="00B67282"/>
    <w:rsid w:val="00B76DF9"/>
    <w:rsid w:val="00B76E27"/>
    <w:rsid w:val="00B806AC"/>
    <w:rsid w:val="00B80DD8"/>
    <w:rsid w:val="00B83C33"/>
    <w:rsid w:val="00B93B43"/>
    <w:rsid w:val="00BA40A5"/>
    <w:rsid w:val="00BF47DB"/>
    <w:rsid w:val="00C009FD"/>
    <w:rsid w:val="00C060CF"/>
    <w:rsid w:val="00C2260B"/>
    <w:rsid w:val="00C2273C"/>
    <w:rsid w:val="00C24869"/>
    <w:rsid w:val="00C26B13"/>
    <w:rsid w:val="00C34E9C"/>
    <w:rsid w:val="00C36793"/>
    <w:rsid w:val="00C400F0"/>
    <w:rsid w:val="00C40CFB"/>
    <w:rsid w:val="00C47AFA"/>
    <w:rsid w:val="00C50DD4"/>
    <w:rsid w:val="00C535FB"/>
    <w:rsid w:val="00C637EF"/>
    <w:rsid w:val="00C65DBC"/>
    <w:rsid w:val="00C73E31"/>
    <w:rsid w:val="00C74385"/>
    <w:rsid w:val="00C80872"/>
    <w:rsid w:val="00C9167E"/>
    <w:rsid w:val="00C93024"/>
    <w:rsid w:val="00C95707"/>
    <w:rsid w:val="00C976A1"/>
    <w:rsid w:val="00CA4C7C"/>
    <w:rsid w:val="00CB29C6"/>
    <w:rsid w:val="00CB6A80"/>
    <w:rsid w:val="00CC4E59"/>
    <w:rsid w:val="00CD534E"/>
    <w:rsid w:val="00CD61AD"/>
    <w:rsid w:val="00CE51E3"/>
    <w:rsid w:val="00CF3AF0"/>
    <w:rsid w:val="00CF5DD7"/>
    <w:rsid w:val="00D02491"/>
    <w:rsid w:val="00D22359"/>
    <w:rsid w:val="00D25CDB"/>
    <w:rsid w:val="00D262AE"/>
    <w:rsid w:val="00D35646"/>
    <w:rsid w:val="00D40EBD"/>
    <w:rsid w:val="00D545E2"/>
    <w:rsid w:val="00D72E1C"/>
    <w:rsid w:val="00D80A18"/>
    <w:rsid w:val="00D82386"/>
    <w:rsid w:val="00D86018"/>
    <w:rsid w:val="00DA7738"/>
    <w:rsid w:val="00DC55D6"/>
    <w:rsid w:val="00DF0D58"/>
    <w:rsid w:val="00E12E2C"/>
    <w:rsid w:val="00E173FB"/>
    <w:rsid w:val="00E17624"/>
    <w:rsid w:val="00E20409"/>
    <w:rsid w:val="00E20F3F"/>
    <w:rsid w:val="00E31CB8"/>
    <w:rsid w:val="00E36D28"/>
    <w:rsid w:val="00E42435"/>
    <w:rsid w:val="00E42B78"/>
    <w:rsid w:val="00E441C6"/>
    <w:rsid w:val="00E50E67"/>
    <w:rsid w:val="00E620CD"/>
    <w:rsid w:val="00E665FC"/>
    <w:rsid w:val="00E66DBF"/>
    <w:rsid w:val="00E71D2F"/>
    <w:rsid w:val="00E7271D"/>
    <w:rsid w:val="00E80C59"/>
    <w:rsid w:val="00E873EF"/>
    <w:rsid w:val="00E9005A"/>
    <w:rsid w:val="00EB4B72"/>
    <w:rsid w:val="00EC0AE4"/>
    <w:rsid w:val="00EC174F"/>
    <w:rsid w:val="00EC5142"/>
    <w:rsid w:val="00EC6016"/>
    <w:rsid w:val="00EE5BA8"/>
    <w:rsid w:val="00EE6A41"/>
    <w:rsid w:val="00EF2A89"/>
    <w:rsid w:val="00F04A59"/>
    <w:rsid w:val="00F05614"/>
    <w:rsid w:val="00F05E07"/>
    <w:rsid w:val="00F14DAA"/>
    <w:rsid w:val="00F170E7"/>
    <w:rsid w:val="00F22DBA"/>
    <w:rsid w:val="00F232FD"/>
    <w:rsid w:val="00F30F5A"/>
    <w:rsid w:val="00F33D61"/>
    <w:rsid w:val="00F55C7C"/>
    <w:rsid w:val="00F61560"/>
    <w:rsid w:val="00F63CF7"/>
    <w:rsid w:val="00F66F8A"/>
    <w:rsid w:val="00F70CE0"/>
    <w:rsid w:val="00F71E3E"/>
    <w:rsid w:val="00F8076F"/>
    <w:rsid w:val="00F93004"/>
    <w:rsid w:val="00FA2DD9"/>
    <w:rsid w:val="00FB3235"/>
    <w:rsid w:val="00FB5530"/>
    <w:rsid w:val="00FB5CD1"/>
    <w:rsid w:val="00FB79F6"/>
    <w:rsid w:val="00FB7EAC"/>
    <w:rsid w:val="00FC215E"/>
    <w:rsid w:val="00FD2AA7"/>
    <w:rsid w:val="00FD58EF"/>
    <w:rsid w:val="00FD7919"/>
    <w:rsid w:val="00FE35D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1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21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21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A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31CB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31C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31C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1C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1CB8"/>
    <w:rPr>
      <w:b/>
      <w:bCs/>
      <w:sz w:val="20"/>
      <w:szCs w:val="20"/>
    </w:rPr>
  </w:style>
  <w:style w:type="paragraph" w:customStyle="1" w:styleId="1">
    <w:name w:val="Без интервала1"/>
    <w:rsid w:val="00D545E2"/>
    <w:pPr>
      <w:spacing w:after="0" w:line="240" w:lineRule="auto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1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21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21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A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31CB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31C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31C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1C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1CB8"/>
    <w:rPr>
      <w:b/>
      <w:bCs/>
      <w:sz w:val="20"/>
      <w:szCs w:val="20"/>
    </w:rPr>
  </w:style>
  <w:style w:type="paragraph" w:customStyle="1" w:styleId="1">
    <w:name w:val="Без интервала1"/>
    <w:rsid w:val="00D545E2"/>
    <w:pPr>
      <w:spacing w:after="0"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880A2DAF788B88051037D8A2455A0957C7625F615BD455C5D658240EA98A958D517E36oAI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79AB51368A67DFE475880A2DAF788B8B0E1032D9AA455A0957C7625F615BD455C5D658240EA98A958D517E36oAI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08D007B0ACB8B5692D85E66246E7C440CF6B310E542B32C5C6F05A37808BFB697598EA93B0205996B65B380265X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08D007B0ACB8B5692D85E66246E7C440CF63300A542B32C5C6F05A37808BFB697598EA93B0205996B65B380265X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8D007B0ACB8B5692D9AF77746E7C441C860340A502B32C5C6F05A37808BFB697598EA93B0205996B65B38026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2FFB-62B1-4DFD-94C5-DAA9CE6D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Александра Олеговна Ивлева</cp:lastModifiedBy>
  <cp:revision>5</cp:revision>
  <cp:lastPrinted>2020-08-19T14:56:00Z</cp:lastPrinted>
  <dcterms:created xsi:type="dcterms:W3CDTF">2020-08-21T11:12:00Z</dcterms:created>
  <dcterms:modified xsi:type="dcterms:W3CDTF">2020-08-21T11:51:00Z</dcterms:modified>
</cp:coreProperties>
</file>