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9F" w:rsidRPr="00D35F9F" w:rsidRDefault="00D35F9F" w:rsidP="00D35F9F">
      <w:pPr>
        <w:autoSpaceDE w:val="0"/>
        <w:autoSpaceDN w:val="0"/>
        <w:ind w:left="9072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 w:rsidRPr="00D35F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</w:t>
      </w:r>
    </w:p>
    <w:p w:rsidR="00D35F9F" w:rsidRPr="00D35F9F" w:rsidRDefault="00D35F9F" w:rsidP="00D35F9F">
      <w:pPr>
        <w:autoSpaceDE w:val="0"/>
        <w:autoSpaceDN w:val="0"/>
        <w:ind w:left="90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5F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приказу Комитета по природным ресурсам Ленинградской области</w:t>
      </w:r>
    </w:p>
    <w:p w:rsidR="00D35F9F" w:rsidRPr="00D35F9F" w:rsidRDefault="00D35F9F" w:rsidP="00D35F9F">
      <w:pPr>
        <w:autoSpaceDE w:val="0"/>
        <w:autoSpaceDN w:val="0"/>
        <w:ind w:left="9072"/>
        <w:jc w:val="center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35F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________ № ______</w:t>
      </w:r>
    </w:p>
    <w:p w:rsidR="00451D87" w:rsidRDefault="00451D87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1D87" w:rsidRPr="00DE28D3" w:rsidRDefault="00451D87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1D87" w:rsidRPr="00640113" w:rsidRDefault="003A163E" w:rsidP="00451D87">
      <w:pPr>
        <w:spacing w:after="304"/>
        <w:ind w:right="14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13">
        <w:rPr>
          <w:rFonts w:ascii="Times New Roman" w:hAnsi="Times New Roman" w:cs="Times New Roman"/>
          <w:b/>
          <w:sz w:val="28"/>
          <w:szCs w:val="28"/>
        </w:rPr>
        <w:t>Р</w:t>
      </w:r>
      <w:r w:rsidR="00451D87" w:rsidRPr="00640113">
        <w:rPr>
          <w:rFonts w:ascii="Times New Roman" w:hAnsi="Times New Roman" w:cs="Times New Roman"/>
          <w:b/>
          <w:sz w:val="28"/>
          <w:szCs w:val="28"/>
        </w:rPr>
        <w:t>еестр (карт</w:t>
      </w:r>
      <w:r w:rsidRPr="00640113">
        <w:rPr>
          <w:rFonts w:ascii="Times New Roman" w:hAnsi="Times New Roman" w:cs="Times New Roman"/>
          <w:b/>
          <w:sz w:val="28"/>
          <w:szCs w:val="28"/>
        </w:rPr>
        <w:t>а</w:t>
      </w:r>
      <w:r w:rsidR="00451D87" w:rsidRPr="00640113">
        <w:rPr>
          <w:rFonts w:ascii="Times New Roman" w:hAnsi="Times New Roman" w:cs="Times New Roman"/>
          <w:b/>
          <w:sz w:val="28"/>
          <w:szCs w:val="28"/>
        </w:rPr>
        <w:t>) коррупционных рисков, возникающих при осуществлении закупок</w:t>
      </w:r>
    </w:p>
    <w:p w:rsidR="00451D87" w:rsidRPr="00AE08D3" w:rsidRDefault="00451D87" w:rsidP="00451D87">
      <w:pPr>
        <w:spacing w:after="304"/>
        <w:ind w:right="14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372" w:type="dxa"/>
        <w:tblLook w:val="04A0" w:firstRow="1" w:lastRow="0" w:firstColumn="1" w:lastColumn="0" w:noHBand="0" w:noVBand="1"/>
      </w:tblPr>
      <w:tblGrid>
        <w:gridCol w:w="664"/>
        <w:gridCol w:w="2869"/>
        <w:gridCol w:w="3421"/>
        <w:gridCol w:w="3478"/>
        <w:gridCol w:w="2580"/>
        <w:gridCol w:w="6"/>
        <w:gridCol w:w="2354"/>
      </w:tblGrid>
      <w:tr w:rsidR="00451D87" w:rsidRPr="00AE08D3" w:rsidTr="003A163E">
        <w:trPr>
          <w:trHeight w:val="1005"/>
        </w:trPr>
        <w:tc>
          <w:tcPr>
            <w:tcW w:w="669" w:type="dxa"/>
            <w:vMerge w:val="restart"/>
            <w:vAlign w:val="center"/>
          </w:tcPr>
          <w:p w:rsidR="00451D87" w:rsidRPr="00640113" w:rsidRDefault="00451D87" w:rsidP="00451D8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113">
              <w:rPr>
                <w:rStyle w:val="20"/>
                <w:rFonts w:eastAsia="Arial Unicode MS"/>
                <w:b/>
                <w:i w:val="0"/>
              </w:rPr>
              <w:t>№</w:t>
            </w:r>
          </w:p>
          <w:p w:rsidR="00451D87" w:rsidRPr="00640113" w:rsidRDefault="00451D87" w:rsidP="00451D8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113">
              <w:rPr>
                <w:rStyle w:val="20"/>
                <w:rFonts w:eastAsia="Arial Unicode MS"/>
                <w:b/>
                <w:i w:val="0"/>
              </w:rPr>
              <w:t>п/п</w:t>
            </w:r>
          </w:p>
        </w:tc>
        <w:tc>
          <w:tcPr>
            <w:tcW w:w="2914" w:type="dxa"/>
            <w:vMerge w:val="restart"/>
            <w:vAlign w:val="center"/>
          </w:tcPr>
          <w:p w:rsidR="00451D87" w:rsidRPr="00640113" w:rsidRDefault="00451D87" w:rsidP="00451D87">
            <w:pPr>
              <w:ind w:right="140"/>
              <w:contextualSpacing/>
              <w:mirrorIndent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113">
              <w:rPr>
                <w:rStyle w:val="20"/>
                <w:rFonts w:eastAsia="Arial Unicode MS"/>
                <w:b/>
                <w:i w:val="0"/>
              </w:rPr>
              <w:t>Краткое наименование коррупционного риска</w:t>
            </w:r>
          </w:p>
        </w:tc>
        <w:tc>
          <w:tcPr>
            <w:tcW w:w="3492" w:type="dxa"/>
            <w:vMerge w:val="restart"/>
            <w:vAlign w:val="center"/>
          </w:tcPr>
          <w:p w:rsidR="00451D87" w:rsidRPr="00640113" w:rsidRDefault="00451D87" w:rsidP="00451D87">
            <w:pPr>
              <w:ind w:right="-69"/>
              <w:contextualSpacing/>
              <w:mirrorIndent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113">
              <w:rPr>
                <w:rStyle w:val="20"/>
                <w:rFonts w:eastAsia="Arial Unicode MS"/>
                <w:b/>
                <w:i w:val="0"/>
              </w:rPr>
              <w:t>Описание возможной коррупционной схемы</w:t>
            </w:r>
          </w:p>
        </w:tc>
        <w:tc>
          <w:tcPr>
            <w:tcW w:w="3602" w:type="dxa"/>
            <w:vMerge w:val="restart"/>
            <w:vAlign w:val="center"/>
          </w:tcPr>
          <w:p w:rsidR="00451D87" w:rsidRPr="00640113" w:rsidRDefault="00451D87" w:rsidP="00451D87">
            <w:pPr>
              <w:ind w:right="140"/>
              <w:contextualSpacing/>
              <w:mirrorIndent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113">
              <w:rPr>
                <w:rStyle w:val="20"/>
                <w:rFonts w:eastAsia="Arial Unicode MS"/>
                <w:b/>
                <w:i w:val="0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4695" w:type="dxa"/>
            <w:gridSpan w:val="3"/>
            <w:vAlign w:val="center"/>
          </w:tcPr>
          <w:p w:rsidR="00451D87" w:rsidRPr="00640113" w:rsidRDefault="00451D87" w:rsidP="00451D87">
            <w:pPr>
              <w:ind w:right="140"/>
              <w:contextualSpacing/>
              <w:mirrorIndent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113">
              <w:rPr>
                <w:rStyle w:val="20"/>
                <w:rFonts w:eastAsia="Arial Unicode MS"/>
                <w:b/>
                <w:i w:val="0"/>
              </w:rPr>
              <w:t>Меры по минимизации коррупционных рисков</w:t>
            </w:r>
          </w:p>
        </w:tc>
      </w:tr>
      <w:tr w:rsidR="00451D87" w:rsidRPr="00AE08D3" w:rsidTr="003A163E">
        <w:trPr>
          <w:trHeight w:val="405"/>
        </w:trPr>
        <w:tc>
          <w:tcPr>
            <w:tcW w:w="669" w:type="dxa"/>
            <w:vMerge/>
            <w:vAlign w:val="center"/>
          </w:tcPr>
          <w:p w:rsidR="00451D87" w:rsidRPr="00640113" w:rsidRDefault="00451D87" w:rsidP="00451D87">
            <w:pPr>
              <w:ind w:left="140"/>
              <w:contextualSpacing/>
              <w:mirrorIndents/>
              <w:jc w:val="center"/>
              <w:rPr>
                <w:rStyle w:val="20"/>
                <w:rFonts w:eastAsia="Arial Unicode MS"/>
                <w:b/>
                <w:i w:val="0"/>
              </w:rPr>
            </w:pPr>
          </w:p>
        </w:tc>
        <w:tc>
          <w:tcPr>
            <w:tcW w:w="2914" w:type="dxa"/>
            <w:vMerge/>
            <w:vAlign w:val="center"/>
          </w:tcPr>
          <w:p w:rsidR="00451D87" w:rsidRPr="00640113" w:rsidRDefault="00451D87" w:rsidP="00451D87">
            <w:pPr>
              <w:ind w:right="140"/>
              <w:contextualSpacing/>
              <w:mirrorIndents/>
              <w:jc w:val="center"/>
              <w:rPr>
                <w:rStyle w:val="20"/>
                <w:rFonts w:eastAsia="Arial Unicode MS"/>
                <w:b/>
                <w:i w:val="0"/>
              </w:rPr>
            </w:pPr>
          </w:p>
        </w:tc>
        <w:tc>
          <w:tcPr>
            <w:tcW w:w="3492" w:type="dxa"/>
            <w:vMerge/>
            <w:vAlign w:val="center"/>
          </w:tcPr>
          <w:p w:rsidR="00451D87" w:rsidRPr="00640113" w:rsidRDefault="00451D87" w:rsidP="00451D87">
            <w:pPr>
              <w:ind w:right="-69"/>
              <w:contextualSpacing/>
              <w:mirrorIndents/>
              <w:jc w:val="center"/>
              <w:rPr>
                <w:rStyle w:val="20"/>
                <w:rFonts w:eastAsia="Arial Unicode MS"/>
                <w:b/>
                <w:i w:val="0"/>
              </w:rPr>
            </w:pPr>
          </w:p>
        </w:tc>
        <w:tc>
          <w:tcPr>
            <w:tcW w:w="3602" w:type="dxa"/>
            <w:vMerge/>
            <w:vAlign w:val="center"/>
          </w:tcPr>
          <w:p w:rsidR="00451D87" w:rsidRPr="00640113" w:rsidRDefault="00451D87" w:rsidP="00451D87">
            <w:pPr>
              <w:ind w:right="140"/>
              <w:contextualSpacing/>
              <w:mirrorIndents/>
              <w:jc w:val="center"/>
              <w:rPr>
                <w:rStyle w:val="20"/>
                <w:rFonts w:eastAsia="Arial Unicode MS"/>
                <w:b/>
                <w:i w:val="0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451D87" w:rsidRPr="00640113" w:rsidRDefault="00451D87" w:rsidP="00451D87">
            <w:pPr>
              <w:spacing w:before="120" w:after="120"/>
              <w:ind w:right="140"/>
              <w:contextualSpacing/>
              <w:mirrorIndents/>
              <w:jc w:val="center"/>
              <w:rPr>
                <w:rStyle w:val="20"/>
                <w:rFonts w:eastAsia="Arial Unicode MS"/>
                <w:b/>
                <w:i w:val="0"/>
              </w:rPr>
            </w:pPr>
            <w:r w:rsidRPr="00640113">
              <w:rPr>
                <w:rStyle w:val="20"/>
                <w:rFonts w:eastAsia="Arial Unicode MS"/>
                <w:b/>
                <w:i w:val="0"/>
              </w:rPr>
              <w:t>Реализуемые</w:t>
            </w:r>
          </w:p>
        </w:tc>
        <w:tc>
          <w:tcPr>
            <w:tcW w:w="2109" w:type="dxa"/>
            <w:vAlign w:val="center"/>
          </w:tcPr>
          <w:p w:rsidR="00451D87" w:rsidRPr="00640113" w:rsidRDefault="00451D87" w:rsidP="00451D87">
            <w:pPr>
              <w:spacing w:before="120" w:after="120"/>
              <w:ind w:left="160"/>
              <w:contextualSpacing/>
              <w:mirrorIndents/>
              <w:jc w:val="center"/>
              <w:rPr>
                <w:rStyle w:val="20"/>
                <w:rFonts w:eastAsia="Arial Unicode MS"/>
                <w:b/>
                <w:i w:val="0"/>
              </w:rPr>
            </w:pPr>
            <w:r w:rsidRPr="00640113">
              <w:rPr>
                <w:rStyle w:val="20"/>
                <w:rFonts w:eastAsia="Arial Unicode MS"/>
                <w:b/>
                <w:i w:val="0"/>
              </w:rPr>
              <w:t>Предлагаемые</w:t>
            </w:r>
          </w:p>
        </w:tc>
      </w:tr>
      <w:tr w:rsidR="003A163E" w:rsidRPr="00AE08D3" w:rsidTr="003A163E">
        <w:tc>
          <w:tcPr>
            <w:tcW w:w="669" w:type="dxa"/>
            <w:vAlign w:val="center"/>
          </w:tcPr>
          <w:p w:rsidR="003A163E" w:rsidRPr="00AE08D3" w:rsidRDefault="003A163E" w:rsidP="00AE08D3">
            <w:pPr>
              <w:spacing w:before="120" w:after="120"/>
              <w:ind w:right="142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4" w:type="dxa"/>
            <w:vAlign w:val="center"/>
          </w:tcPr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Выбор способа размещения заказа</w:t>
            </w:r>
          </w:p>
        </w:tc>
        <w:tc>
          <w:tcPr>
            <w:tcW w:w="3492" w:type="dxa"/>
            <w:vAlign w:val="center"/>
          </w:tcPr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Искусственное </w:t>
            </w:r>
            <w:r w:rsidR="00612CD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r w:rsidRPr="00AE08D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дробление закупки на несколько отдельных с </w:t>
            </w:r>
            <w:r w:rsidR="0073714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целью упрощения способа закупки</w:t>
            </w:r>
          </w:p>
        </w:tc>
        <w:tc>
          <w:tcPr>
            <w:tcW w:w="3602" w:type="dxa"/>
            <w:vAlign w:val="center"/>
          </w:tcPr>
          <w:p w:rsidR="003A163E" w:rsidRPr="00AE08D3" w:rsidRDefault="00737148" w:rsidP="0052218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Контрактная служба</w:t>
            </w:r>
          </w:p>
        </w:tc>
        <w:tc>
          <w:tcPr>
            <w:tcW w:w="2586" w:type="dxa"/>
            <w:gridSpan w:val="2"/>
            <w:vAlign w:val="center"/>
          </w:tcPr>
          <w:p w:rsidR="003A163E" w:rsidRPr="002F61E6" w:rsidRDefault="003A163E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 Запрет</w:t>
            </w: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искусственного</w:t>
            </w:r>
            <w:r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дробления закупки.</w:t>
            </w:r>
          </w:p>
          <w:p w:rsidR="003A163E" w:rsidRPr="002F61E6" w:rsidRDefault="00BB4BD1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3A163E"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 Разъяснение понятия аффилированности, установление требований к разрешению выявленных ситуаций аффилированности.</w:t>
            </w:r>
          </w:p>
          <w:p w:rsidR="003A163E" w:rsidRPr="00AE08D3" w:rsidRDefault="003A163E" w:rsidP="00E6011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:rsidR="00BB4BD1" w:rsidRPr="00BB4BD1" w:rsidRDefault="00BB4BD1" w:rsidP="00BB4BD1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B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Автоматический мониторинг закупок на предмет выявления неоднократных (в течение года) закупок однородных товаров, работ, услуг.</w:t>
            </w:r>
          </w:p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63E" w:rsidRPr="00AE08D3" w:rsidTr="003A163E">
        <w:tc>
          <w:tcPr>
            <w:tcW w:w="669" w:type="dxa"/>
            <w:vAlign w:val="center"/>
          </w:tcPr>
          <w:p w:rsidR="003A163E" w:rsidRPr="00AE08D3" w:rsidRDefault="003A163E" w:rsidP="00AE08D3">
            <w:pPr>
              <w:spacing w:before="120" w:after="120"/>
              <w:ind w:right="142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4" w:type="dxa"/>
            <w:vAlign w:val="center"/>
          </w:tcPr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заявок и выбор поставщика</w:t>
            </w:r>
          </w:p>
        </w:tc>
        <w:tc>
          <w:tcPr>
            <w:tcW w:w="3492" w:type="dxa"/>
            <w:vAlign w:val="center"/>
          </w:tcPr>
          <w:p w:rsidR="003A163E" w:rsidRPr="0024002D" w:rsidRDefault="00D400C6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Заключение контракта с «предпочтительным»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поставщиком (подрядчиком, исполнителем) с</w:t>
            </w:r>
            <w:r w:rsidR="003A163E" w:rsidRPr="002400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необоснованн</w:t>
            </w:r>
            <w:r w:rsidR="00737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ым отклонением остальных заявок</w:t>
            </w:r>
          </w:p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Align w:val="center"/>
          </w:tcPr>
          <w:p w:rsidR="003A163E" w:rsidRPr="00AE08D3" w:rsidRDefault="00737148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Контрактная служба</w:t>
            </w:r>
          </w:p>
        </w:tc>
        <w:tc>
          <w:tcPr>
            <w:tcW w:w="2580" w:type="dxa"/>
            <w:vAlign w:val="center"/>
          </w:tcPr>
          <w:p w:rsidR="003A163E" w:rsidRPr="00AE08D3" w:rsidRDefault="003A163E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Ограничение возможности </w:t>
            </w: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предоставл</w:t>
            </w:r>
            <w:r w:rsidR="00F80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ения</w:t>
            </w: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кому-либо сведени</w:t>
            </w:r>
            <w:r w:rsidR="00F80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й</w:t>
            </w: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 ходе закупок, пров</w:t>
            </w:r>
            <w:r w:rsidR="00F80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едение</w:t>
            </w: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не предусмотренны</w:t>
            </w:r>
            <w:r w:rsidR="00F80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 законом</w:t>
            </w: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переговор</w:t>
            </w:r>
            <w:r w:rsidR="00F80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ов</w:t>
            </w: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 участниками</w:t>
            </w:r>
            <w:r w:rsidR="009D3F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закупок</w:t>
            </w: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514" w:rsidRPr="00AE08D3" w:rsidTr="003A163E">
        <w:tc>
          <w:tcPr>
            <w:tcW w:w="669" w:type="dxa"/>
            <w:vAlign w:val="center"/>
          </w:tcPr>
          <w:p w:rsidR="009F1514" w:rsidRPr="00AE08D3" w:rsidRDefault="009F1514" w:rsidP="00AE08D3">
            <w:pPr>
              <w:spacing w:before="120" w:after="120"/>
              <w:ind w:right="142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14" w:type="dxa"/>
            <w:vAlign w:val="center"/>
          </w:tcPr>
          <w:p w:rsidR="009F1514" w:rsidRPr="00AE08D3" w:rsidRDefault="009F1514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Приемка объекта закупки</w:t>
            </w:r>
          </w:p>
        </w:tc>
        <w:tc>
          <w:tcPr>
            <w:tcW w:w="3492" w:type="dxa"/>
            <w:vAlign w:val="center"/>
          </w:tcPr>
          <w:p w:rsidR="00F80FD9" w:rsidRPr="00F80FD9" w:rsidRDefault="00E14711" w:rsidP="007D3EE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Приемка товаров, работ, услуг низкого качества, н</w:t>
            </w:r>
            <w:r w:rsidR="00F80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езаконное освобождение</w:t>
            </w:r>
            <w:r w:rsidR="009F15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7D3EE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поставщика (подрядчика, исполнителя) </w:t>
            </w:r>
            <w:r w:rsidR="00F80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от уплаты </w:t>
            </w:r>
            <w:r w:rsidR="009F15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неустоек (штрафов</w:t>
            </w:r>
            <w:r w:rsidR="00F80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пеней</w:t>
            </w:r>
            <w:r w:rsidR="009F15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) при</w:t>
            </w:r>
          </w:p>
          <w:p w:rsidR="00F80FD9" w:rsidRDefault="00F80FD9" w:rsidP="007D3EE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неисполнени</w:t>
            </w:r>
            <w:r w:rsidR="00D400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и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или ненадлежаще</w:t>
            </w:r>
            <w:r w:rsidR="00D400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м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исполнени</w:t>
            </w:r>
            <w:r w:rsidR="00D400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и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обязательств по контракту</w:t>
            </w:r>
          </w:p>
          <w:p w:rsidR="00F80FD9" w:rsidRPr="00F80FD9" w:rsidRDefault="00F80FD9" w:rsidP="00F80FD9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F80FD9" w:rsidRPr="00F80FD9" w:rsidRDefault="00F80FD9" w:rsidP="00F80FD9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F80FD9" w:rsidRDefault="00F80FD9" w:rsidP="00F80FD9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9F1514" w:rsidRPr="00F80FD9" w:rsidRDefault="009F1514" w:rsidP="00F80FD9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602" w:type="dxa"/>
            <w:vAlign w:val="center"/>
          </w:tcPr>
          <w:p w:rsidR="009F1514" w:rsidRPr="002F61E6" w:rsidRDefault="009F1514" w:rsidP="009F1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  <w:r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 </w:t>
            </w:r>
            <w:r w:rsidR="007B1C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Члены приемочной комиссии</w:t>
            </w:r>
            <w:r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9F1514" w:rsidRPr="0024002D" w:rsidRDefault="009F1514" w:rsidP="009F1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  <w:r w:rsidRPr="005221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="00737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Контрактная служба</w:t>
            </w:r>
          </w:p>
        </w:tc>
        <w:tc>
          <w:tcPr>
            <w:tcW w:w="2580" w:type="dxa"/>
            <w:vAlign w:val="center"/>
          </w:tcPr>
          <w:p w:rsidR="009F1514" w:rsidRDefault="009F1514" w:rsidP="00D400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 Создание приемочной комиссии.</w:t>
            </w:r>
          </w:p>
          <w:p w:rsidR="009F1514" w:rsidRDefault="009F1514" w:rsidP="00D400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 Проверка соответствия итогов закупки положениям контракта (техническому заданию, срокам исполнения).</w:t>
            </w:r>
          </w:p>
          <w:p w:rsidR="009F1514" w:rsidRDefault="009F1514" w:rsidP="00D400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 Применение штрафных санкций при нарушении условий контракта.</w:t>
            </w:r>
          </w:p>
          <w:p w:rsidR="009F1514" w:rsidRPr="006A4AC5" w:rsidRDefault="009F1514" w:rsidP="00D400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4. </w:t>
            </w:r>
            <w:r w:rsidR="006A4A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силами заказчика экспертизы для</w:t>
            </w:r>
            <w:r w:rsidRPr="006A4A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6A4A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проверки предоставленных поставщиком (подрядчиком, исполнителем) результатов, предусмотренных контрактом, в части их соответствия условиям контракта</w:t>
            </w:r>
            <w:r w:rsidR="006A4AC5" w:rsidRPr="006A4A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9F1514" w:rsidRDefault="009F1514" w:rsidP="009F1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9F1514" w:rsidRPr="00AE08D3" w:rsidRDefault="009F1514" w:rsidP="009F1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9F1514" w:rsidRPr="00AE08D3" w:rsidRDefault="006A4AC5" w:rsidP="006A4AC5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к приемке товаров, работ, услуг внешних экспертов</w:t>
            </w:r>
          </w:p>
        </w:tc>
      </w:tr>
    </w:tbl>
    <w:p w:rsidR="00451D87" w:rsidRDefault="00451D87" w:rsidP="00AE08D3">
      <w:pPr>
        <w:spacing w:after="272"/>
        <w:contextualSpacing/>
        <w:mirrorIndents/>
        <w:jc w:val="center"/>
        <w:rPr>
          <w:rStyle w:val="21"/>
          <w:rFonts w:eastAsia="Arial Unicode MS"/>
        </w:rPr>
      </w:pPr>
    </w:p>
    <w:p w:rsidR="00451D87" w:rsidRDefault="00451D87" w:rsidP="00AE08D3">
      <w:pPr>
        <w:spacing w:after="272"/>
        <w:contextualSpacing/>
        <w:mirrorIndents/>
        <w:jc w:val="center"/>
        <w:rPr>
          <w:rStyle w:val="21"/>
          <w:rFonts w:eastAsia="Arial Unicode MS"/>
        </w:rPr>
      </w:pPr>
    </w:p>
    <w:p w:rsidR="00451D87" w:rsidRDefault="00451D87" w:rsidP="00AE08D3">
      <w:pPr>
        <w:spacing w:after="272"/>
        <w:contextualSpacing/>
        <w:mirrorIndents/>
        <w:jc w:val="center"/>
        <w:rPr>
          <w:rStyle w:val="21"/>
          <w:rFonts w:eastAsia="Arial Unicode MS"/>
        </w:rPr>
      </w:pPr>
    </w:p>
    <w:p w:rsidR="002F61E6" w:rsidRDefault="002F61E6" w:rsidP="00451D87">
      <w:pPr>
        <w:spacing w:after="272"/>
        <w:contextualSpacing/>
        <w:mirrorIndents/>
        <w:jc w:val="right"/>
        <w:rPr>
          <w:rStyle w:val="21"/>
          <w:rFonts w:eastAsia="Arial Unicode MS"/>
        </w:rPr>
      </w:pPr>
    </w:p>
    <w:p w:rsidR="002F61E6" w:rsidRDefault="002F61E6" w:rsidP="00451D87">
      <w:pPr>
        <w:spacing w:after="272"/>
        <w:contextualSpacing/>
        <w:mirrorIndents/>
        <w:jc w:val="right"/>
        <w:rPr>
          <w:rStyle w:val="21"/>
          <w:rFonts w:eastAsia="Arial Unicode MS"/>
        </w:rPr>
      </w:pPr>
    </w:p>
    <w:p w:rsidR="002F61E6" w:rsidRDefault="002F61E6" w:rsidP="00451D87">
      <w:pPr>
        <w:spacing w:after="272"/>
        <w:contextualSpacing/>
        <w:mirrorIndents/>
        <w:jc w:val="right"/>
        <w:rPr>
          <w:rStyle w:val="21"/>
          <w:rFonts w:eastAsia="Arial Unicode MS"/>
        </w:rPr>
      </w:pPr>
    </w:p>
    <w:p w:rsidR="002F61E6" w:rsidRDefault="002F61E6" w:rsidP="00451D87">
      <w:pPr>
        <w:spacing w:after="272"/>
        <w:contextualSpacing/>
        <w:mirrorIndents/>
        <w:jc w:val="right"/>
        <w:rPr>
          <w:rStyle w:val="21"/>
          <w:rFonts w:eastAsia="Arial Unicode MS"/>
        </w:rPr>
      </w:pPr>
    </w:p>
    <w:p w:rsidR="002F61E6" w:rsidRDefault="002F61E6" w:rsidP="00451D87">
      <w:pPr>
        <w:spacing w:after="272"/>
        <w:contextualSpacing/>
        <w:mirrorIndents/>
        <w:jc w:val="right"/>
        <w:rPr>
          <w:rStyle w:val="21"/>
          <w:rFonts w:eastAsia="Arial Unicode MS"/>
        </w:rPr>
      </w:pPr>
    </w:p>
    <w:p w:rsidR="002F61E6" w:rsidRDefault="002F61E6" w:rsidP="00451D87">
      <w:pPr>
        <w:spacing w:after="272"/>
        <w:contextualSpacing/>
        <w:mirrorIndents/>
        <w:jc w:val="right"/>
        <w:rPr>
          <w:rStyle w:val="21"/>
          <w:rFonts w:eastAsia="Arial Unicode MS"/>
        </w:rPr>
      </w:pPr>
    </w:p>
    <w:p w:rsidR="002F61E6" w:rsidRDefault="002F61E6" w:rsidP="00451D87">
      <w:pPr>
        <w:spacing w:after="272"/>
        <w:contextualSpacing/>
        <w:mirrorIndents/>
        <w:jc w:val="right"/>
        <w:rPr>
          <w:rStyle w:val="21"/>
          <w:rFonts w:eastAsia="Arial Unicode MS"/>
        </w:rPr>
      </w:pPr>
    </w:p>
    <w:p w:rsidR="002F61E6" w:rsidRDefault="002F61E6" w:rsidP="00451D87">
      <w:pPr>
        <w:spacing w:after="272"/>
        <w:contextualSpacing/>
        <w:mirrorIndents/>
        <w:jc w:val="right"/>
        <w:rPr>
          <w:rStyle w:val="21"/>
          <w:rFonts w:eastAsia="Arial Unicode MS"/>
        </w:rPr>
      </w:pPr>
    </w:p>
    <w:p w:rsidR="002F61E6" w:rsidRDefault="002F61E6" w:rsidP="00451D87">
      <w:pPr>
        <w:spacing w:after="272"/>
        <w:contextualSpacing/>
        <w:mirrorIndents/>
        <w:jc w:val="right"/>
        <w:rPr>
          <w:rStyle w:val="21"/>
          <w:rFonts w:eastAsia="Arial Unicode MS"/>
        </w:rPr>
      </w:pPr>
    </w:p>
    <w:p w:rsidR="0024002D" w:rsidRDefault="0024002D" w:rsidP="00AE08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0FD9" w:rsidRDefault="00F80FD9" w:rsidP="00E6011A">
      <w:pPr>
        <w:autoSpaceDE w:val="0"/>
        <w:autoSpaceDN w:val="0"/>
        <w:ind w:left="9639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80FD9" w:rsidRDefault="00F80FD9" w:rsidP="00E6011A">
      <w:pPr>
        <w:autoSpaceDE w:val="0"/>
        <w:autoSpaceDN w:val="0"/>
        <w:ind w:left="9639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011A" w:rsidRPr="00D35F9F" w:rsidRDefault="00E6011A" w:rsidP="00E6011A">
      <w:pPr>
        <w:autoSpaceDE w:val="0"/>
        <w:autoSpaceDN w:val="0"/>
        <w:ind w:left="9639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5F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</w:t>
      </w:r>
    </w:p>
    <w:p w:rsidR="00E6011A" w:rsidRPr="00D35F9F" w:rsidRDefault="00E6011A" w:rsidP="00E6011A">
      <w:pPr>
        <w:autoSpaceDE w:val="0"/>
        <w:autoSpaceDN w:val="0"/>
        <w:ind w:left="963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5F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приказу Комитета по природным ресурсам Ленинградской области</w:t>
      </w:r>
    </w:p>
    <w:p w:rsidR="00E6011A" w:rsidRPr="00D35F9F" w:rsidRDefault="00E6011A" w:rsidP="00E6011A">
      <w:pPr>
        <w:autoSpaceDE w:val="0"/>
        <w:autoSpaceDN w:val="0"/>
        <w:ind w:left="9639"/>
        <w:jc w:val="center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35F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________ № ______</w:t>
      </w:r>
    </w:p>
    <w:p w:rsidR="00451D87" w:rsidRPr="000645D4" w:rsidRDefault="00451D87" w:rsidP="00451D87">
      <w:pPr>
        <w:spacing w:after="272"/>
        <w:contextualSpacing/>
        <w:mirrorIndents/>
        <w:jc w:val="right"/>
      </w:pPr>
    </w:p>
    <w:p w:rsidR="00451D87" w:rsidRPr="00E6011A" w:rsidRDefault="003A163E" w:rsidP="00451D87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11A">
        <w:rPr>
          <w:rFonts w:ascii="Times New Roman" w:hAnsi="Times New Roman" w:cs="Times New Roman"/>
          <w:b/>
          <w:sz w:val="28"/>
          <w:szCs w:val="28"/>
        </w:rPr>
        <w:t>План</w:t>
      </w:r>
      <w:r w:rsidR="00451D87" w:rsidRPr="00E6011A">
        <w:rPr>
          <w:rFonts w:ascii="Times New Roman" w:hAnsi="Times New Roman" w:cs="Times New Roman"/>
          <w:b/>
          <w:sz w:val="28"/>
          <w:szCs w:val="28"/>
        </w:rPr>
        <w:t xml:space="preserve"> (реестр) мер, направленных на минимизацию коррупционных рисков,</w:t>
      </w:r>
    </w:p>
    <w:p w:rsidR="00451D87" w:rsidRPr="00E6011A" w:rsidRDefault="00451D87" w:rsidP="00451D87">
      <w:pPr>
        <w:spacing w:after="304"/>
        <w:ind w:right="12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11A">
        <w:rPr>
          <w:rFonts w:ascii="Times New Roman" w:hAnsi="Times New Roman" w:cs="Times New Roman"/>
          <w:b/>
          <w:sz w:val="28"/>
          <w:szCs w:val="28"/>
        </w:rPr>
        <w:t>возникающих при осуществлении закупок</w:t>
      </w:r>
    </w:p>
    <w:p w:rsidR="00451D87" w:rsidRPr="000645D4" w:rsidRDefault="00451D87" w:rsidP="00451D87">
      <w:pPr>
        <w:spacing w:after="304"/>
        <w:ind w:right="12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791"/>
        <w:gridCol w:w="3267"/>
        <w:gridCol w:w="3008"/>
        <w:gridCol w:w="2458"/>
        <w:gridCol w:w="3567"/>
        <w:gridCol w:w="2185"/>
      </w:tblGrid>
      <w:tr w:rsidR="00EB3B0D" w:rsidRPr="00E6011A" w:rsidTr="00612CDF">
        <w:tc>
          <w:tcPr>
            <w:tcW w:w="791" w:type="dxa"/>
            <w:vAlign w:val="center"/>
          </w:tcPr>
          <w:p w:rsidR="00451D87" w:rsidRPr="00E6011A" w:rsidRDefault="00451D87" w:rsidP="00AE08D3">
            <w:pPr>
              <w:ind w:left="140"/>
              <w:contextualSpacing/>
              <w:mirrorIndents/>
              <w:jc w:val="center"/>
              <w:rPr>
                <w:b/>
              </w:rPr>
            </w:pPr>
            <w:r w:rsidRPr="00E6011A">
              <w:rPr>
                <w:rStyle w:val="20"/>
                <w:rFonts w:eastAsia="Arial Unicode MS"/>
                <w:b/>
                <w:i w:val="0"/>
              </w:rPr>
              <w:t>№</w:t>
            </w:r>
          </w:p>
          <w:p w:rsidR="00451D87" w:rsidRPr="00E6011A" w:rsidRDefault="00451D87" w:rsidP="00AE08D3">
            <w:pPr>
              <w:ind w:left="14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11A">
              <w:rPr>
                <w:rStyle w:val="20"/>
                <w:rFonts w:eastAsia="Arial Unicode MS"/>
                <w:b/>
                <w:i w:val="0"/>
              </w:rPr>
              <w:t>п/п</w:t>
            </w:r>
          </w:p>
        </w:tc>
        <w:tc>
          <w:tcPr>
            <w:tcW w:w="3267" w:type="dxa"/>
            <w:vAlign w:val="center"/>
          </w:tcPr>
          <w:p w:rsidR="00451D87" w:rsidRPr="00E6011A" w:rsidRDefault="00451D87" w:rsidP="00AE08D3">
            <w:pPr>
              <w:ind w:left="14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11A">
              <w:rPr>
                <w:rStyle w:val="20"/>
                <w:rFonts w:eastAsia="Arial Unicode MS"/>
                <w:b/>
                <w:i w:val="0"/>
              </w:rPr>
              <w:t>Наименование меры по минимизации коррупционных рисков</w:t>
            </w:r>
          </w:p>
        </w:tc>
        <w:tc>
          <w:tcPr>
            <w:tcW w:w="3008" w:type="dxa"/>
            <w:vAlign w:val="center"/>
          </w:tcPr>
          <w:p w:rsidR="00451D87" w:rsidRPr="00E6011A" w:rsidRDefault="00451D87" w:rsidP="00451D87">
            <w:pPr>
              <w:ind w:left="14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11A">
              <w:rPr>
                <w:rStyle w:val="20"/>
                <w:rFonts w:eastAsia="Arial Unicode MS"/>
                <w:b/>
                <w:i w:val="0"/>
              </w:rPr>
              <w:t>Краткое наименование минимизируемого коррупционного риска</w:t>
            </w:r>
          </w:p>
        </w:tc>
        <w:tc>
          <w:tcPr>
            <w:tcW w:w="2458" w:type="dxa"/>
            <w:vAlign w:val="center"/>
          </w:tcPr>
          <w:p w:rsidR="00451D87" w:rsidRPr="00E6011A" w:rsidRDefault="00451D87" w:rsidP="00451D87">
            <w:pPr>
              <w:ind w:left="14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11A">
              <w:rPr>
                <w:rStyle w:val="20"/>
                <w:rFonts w:eastAsia="Arial Unicode MS"/>
                <w:b/>
                <w:i w:val="0"/>
              </w:rPr>
              <w:t>Срок (периодичность) реализации</w:t>
            </w:r>
          </w:p>
        </w:tc>
        <w:tc>
          <w:tcPr>
            <w:tcW w:w="3567" w:type="dxa"/>
            <w:vAlign w:val="center"/>
          </w:tcPr>
          <w:p w:rsidR="00451D87" w:rsidRPr="00E6011A" w:rsidRDefault="00451D87" w:rsidP="00451D87">
            <w:pPr>
              <w:ind w:left="14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11A">
              <w:rPr>
                <w:rStyle w:val="20"/>
                <w:rFonts w:eastAsia="Arial Unicode MS"/>
                <w:b/>
                <w:i w:val="0"/>
              </w:rPr>
              <w:t>Ответственный за реализацию служащий (работник)</w:t>
            </w:r>
          </w:p>
        </w:tc>
        <w:tc>
          <w:tcPr>
            <w:tcW w:w="2185" w:type="dxa"/>
            <w:vAlign w:val="center"/>
          </w:tcPr>
          <w:p w:rsidR="00451D87" w:rsidRPr="00E6011A" w:rsidRDefault="00451D87" w:rsidP="00451D87">
            <w:pPr>
              <w:ind w:left="140"/>
              <w:contextualSpacing/>
              <w:mirrorIndents/>
              <w:jc w:val="center"/>
              <w:rPr>
                <w:b/>
              </w:rPr>
            </w:pPr>
            <w:r w:rsidRPr="00E6011A">
              <w:rPr>
                <w:rStyle w:val="20"/>
                <w:rFonts w:eastAsia="Arial Unicode MS"/>
                <w:b/>
                <w:i w:val="0"/>
              </w:rPr>
              <w:t>Планируемый</w:t>
            </w:r>
          </w:p>
          <w:p w:rsidR="00451D87" w:rsidRPr="00E6011A" w:rsidRDefault="00451D87" w:rsidP="00451D87">
            <w:pPr>
              <w:ind w:left="14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11A">
              <w:rPr>
                <w:rStyle w:val="20"/>
                <w:rFonts w:eastAsia="Arial Unicode MS"/>
                <w:b/>
                <w:i w:val="0"/>
              </w:rPr>
              <w:t>результат</w:t>
            </w:r>
          </w:p>
        </w:tc>
      </w:tr>
      <w:tr w:rsidR="00EB3B0D" w:rsidRPr="000645D4" w:rsidTr="00612CDF">
        <w:tc>
          <w:tcPr>
            <w:tcW w:w="791" w:type="dxa"/>
            <w:vAlign w:val="center"/>
          </w:tcPr>
          <w:p w:rsidR="00451D87" w:rsidRPr="000645D4" w:rsidRDefault="00451D87" w:rsidP="00AE08D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7" w:type="dxa"/>
            <w:vAlign w:val="center"/>
          </w:tcPr>
          <w:p w:rsidR="00AE08D3" w:rsidRPr="00AE08D3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Запрет и</w:t>
            </w:r>
            <w:r w:rsidR="00D400C6">
              <w:rPr>
                <w:rFonts w:ascii="Times New Roman" w:hAnsi="Times New Roman" w:cs="Times New Roman"/>
                <w:sz w:val="28"/>
                <w:szCs w:val="28"/>
              </w:rPr>
              <w:t>скусственного дробления закупки</w:t>
            </w:r>
          </w:p>
          <w:p w:rsidR="00451D87" w:rsidRPr="000645D4" w:rsidRDefault="00451D87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vAlign w:val="center"/>
          </w:tcPr>
          <w:p w:rsidR="00451D87" w:rsidRPr="000645D4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Выбор способа размещения заказа</w:t>
            </w:r>
          </w:p>
        </w:tc>
        <w:tc>
          <w:tcPr>
            <w:tcW w:w="2458" w:type="dxa"/>
            <w:vAlign w:val="center"/>
          </w:tcPr>
          <w:p w:rsidR="00451D87" w:rsidRPr="000645D4" w:rsidRDefault="00AE08D3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67" w:type="dxa"/>
            <w:vAlign w:val="center"/>
          </w:tcPr>
          <w:p w:rsidR="00451D87" w:rsidRPr="00D269DB" w:rsidRDefault="00737148" w:rsidP="007B1C80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</w:t>
            </w:r>
            <w:r w:rsidR="007B1C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онтрактная служба</w:t>
            </w:r>
          </w:p>
        </w:tc>
        <w:tc>
          <w:tcPr>
            <w:tcW w:w="2185" w:type="dxa"/>
            <w:vAlign w:val="center"/>
          </w:tcPr>
          <w:p w:rsidR="00B559A7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  <w:p w:rsidR="00B559A7" w:rsidRDefault="00B559A7" w:rsidP="00B55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9A7" w:rsidRPr="00B559A7" w:rsidRDefault="00B559A7" w:rsidP="00B55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9A7" w:rsidRDefault="00B559A7" w:rsidP="00B55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D87" w:rsidRPr="00B559A7" w:rsidRDefault="00451D87" w:rsidP="00B55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A7" w:rsidRPr="000645D4" w:rsidTr="00612CDF">
        <w:tc>
          <w:tcPr>
            <w:tcW w:w="791" w:type="dxa"/>
            <w:vAlign w:val="center"/>
          </w:tcPr>
          <w:p w:rsidR="00B559A7" w:rsidRPr="000645D4" w:rsidRDefault="00B559A7" w:rsidP="00AE08D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7" w:type="dxa"/>
            <w:vAlign w:val="center"/>
          </w:tcPr>
          <w:p w:rsidR="00D269DB" w:rsidRPr="00D269DB" w:rsidRDefault="00D269DB" w:rsidP="00D269D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DB">
              <w:rPr>
                <w:rFonts w:ascii="Times New Roman" w:hAnsi="Times New Roman" w:cs="Times New Roman"/>
                <w:sz w:val="28"/>
                <w:szCs w:val="28"/>
              </w:rPr>
              <w:t>Разъяснение понятия аффилированности, установление требований к разрешению выявл</w:t>
            </w:r>
            <w:r w:rsidR="00D400C6">
              <w:rPr>
                <w:rFonts w:ascii="Times New Roman" w:hAnsi="Times New Roman" w:cs="Times New Roman"/>
                <w:sz w:val="28"/>
                <w:szCs w:val="28"/>
              </w:rPr>
              <w:t>енных ситуаций аффилированности</w:t>
            </w:r>
          </w:p>
          <w:p w:rsidR="00B559A7" w:rsidRPr="00D269DB" w:rsidRDefault="00B559A7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vAlign w:val="center"/>
          </w:tcPr>
          <w:p w:rsidR="00B559A7" w:rsidRPr="00D269DB" w:rsidRDefault="00D269DB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DB">
              <w:rPr>
                <w:rFonts w:ascii="Times New Roman" w:hAnsi="Times New Roman" w:cs="Times New Roman"/>
                <w:sz w:val="28"/>
                <w:szCs w:val="28"/>
              </w:rPr>
              <w:t>Оценка заявок и выбор поставщика</w:t>
            </w:r>
          </w:p>
        </w:tc>
        <w:tc>
          <w:tcPr>
            <w:tcW w:w="2458" w:type="dxa"/>
            <w:vAlign w:val="center"/>
          </w:tcPr>
          <w:p w:rsidR="00B559A7" w:rsidRPr="00D269DB" w:rsidRDefault="00D269DB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67" w:type="dxa"/>
            <w:vAlign w:val="center"/>
          </w:tcPr>
          <w:p w:rsidR="00B559A7" w:rsidRPr="002F61E6" w:rsidRDefault="00737148" w:rsidP="007B1C80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Контрактная служба</w:t>
            </w:r>
          </w:p>
        </w:tc>
        <w:tc>
          <w:tcPr>
            <w:tcW w:w="2185" w:type="dxa"/>
            <w:vAlign w:val="center"/>
          </w:tcPr>
          <w:p w:rsidR="00D269DB" w:rsidRDefault="00D269DB" w:rsidP="00D269D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  <w:p w:rsidR="00D269DB" w:rsidRDefault="00D269DB" w:rsidP="00D26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9A7" w:rsidRDefault="00B559A7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9DB" w:rsidRPr="000645D4" w:rsidTr="00612CDF">
        <w:tc>
          <w:tcPr>
            <w:tcW w:w="791" w:type="dxa"/>
            <w:vAlign w:val="center"/>
          </w:tcPr>
          <w:p w:rsidR="00D269DB" w:rsidRDefault="00D269DB" w:rsidP="00AE08D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7" w:type="dxa"/>
            <w:vAlign w:val="center"/>
          </w:tcPr>
          <w:p w:rsidR="00767F27" w:rsidRPr="00767F27" w:rsidRDefault="00767F27" w:rsidP="00767F2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F27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Ограничение возможности  </w:t>
            </w:r>
            <w:r w:rsidRPr="00767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</w:t>
            </w:r>
            <w:r w:rsidR="00F80FD9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767F27">
              <w:rPr>
                <w:rFonts w:ascii="Times New Roman" w:hAnsi="Times New Roman" w:cs="Times New Roman"/>
                <w:sz w:val="28"/>
                <w:szCs w:val="28"/>
              </w:rPr>
              <w:t xml:space="preserve"> кому-либо сведени</w:t>
            </w:r>
            <w:r w:rsidR="00F80FD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67F27">
              <w:rPr>
                <w:rFonts w:ascii="Times New Roman" w:hAnsi="Times New Roman" w:cs="Times New Roman"/>
                <w:sz w:val="28"/>
                <w:szCs w:val="28"/>
              </w:rPr>
              <w:t xml:space="preserve"> о ходе закупок, пров</w:t>
            </w:r>
            <w:r w:rsidR="00F80FD9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767F27"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предусмотренны</w:t>
            </w:r>
            <w:r w:rsidR="00F80FD9">
              <w:rPr>
                <w:rFonts w:ascii="Times New Roman" w:hAnsi="Times New Roman" w:cs="Times New Roman"/>
                <w:sz w:val="28"/>
                <w:szCs w:val="28"/>
              </w:rPr>
              <w:t>х законом</w:t>
            </w:r>
            <w:r w:rsidRPr="00767F27">
              <w:rPr>
                <w:rFonts w:ascii="Times New Roman" w:hAnsi="Times New Roman" w:cs="Times New Roman"/>
                <w:sz w:val="28"/>
                <w:szCs w:val="28"/>
              </w:rPr>
              <w:t xml:space="preserve"> переговор</w:t>
            </w:r>
            <w:r w:rsidR="00F80FD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67F27">
              <w:rPr>
                <w:rFonts w:ascii="Times New Roman" w:hAnsi="Times New Roman" w:cs="Times New Roman"/>
                <w:sz w:val="28"/>
                <w:szCs w:val="28"/>
              </w:rPr>
              <w:t xml:space="preserve"> с участниками</w:t>
            </w:r>
            <w:r w:rsidR="00F80FD9">
              <w:rPr>
                <w:rFonts w:ascii="Times New Roman" w:hAnsi="Times New Roman" w:cs="Times New Roman"/>
                <w:sz w:val="28"/>
                <w:szCs w:val="28"/>
              </w:rPr>
              <w:t xml:space="preserve"> закупок</w:t>
            </w:r>
          </w:p>
          <w:p w:rsidR="00D269DB" w:rsidRPr="00767F27" w:rsidRDefault="00D269DB" w:rsidP="00D269D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vAlign w:val="center"/>
          </w:tcPr>
          <w:p w:rsidR="00D269DB" w:rsidRPr="00767F27" w:rsidRDefault="00767F27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заявок и выбор поставщика</w:t>
            </w:r>
          </w:p>
        </w:tc>
        <w:tc>
          <w:tcPr>
            <w:tcW w:w="2458" w:type="dxa"/>
            <w:vAlign w:val="center"/>
          </w:tcPr>
          <w:p w:rsidR="00D269DB" w:rsidRPr="00D269DB" w:rsidRDefault="00767F27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67" w:type="dxa"/>
            <w:vAlign w:val="center"/>
          </w:tcPr>
          <w:p w:rsidR="00D269DB" w:rsidRPr="00767F27" w:rsidRDefault="00737148" w:rsidP="00767F2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Контрактная служба</w:t>
            </w:r>
          </w:p>
        </w:tc>
        <w:tc>
          <w:tcPr>
            <w:tcW w:w="2185" w:type="dxa"/>
            <w:vAlign w:val="center"/>
          </w:tcPr>
          <w:p w:rsidR="00767F27" w:rsidRDefault="00767F27" w:rsidP="00767F2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  <w:p w:rsidR="00767F27" w:rsidRDefault="00767F27" w:rsidP="00767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9DB" w:rsidRDefault="00D269DB" w:rsidP="00D269D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FD9" w:rsidRPr="000645D4" w:rsidTr="00612CDF">
        <w:tc>
          <w:tcPr>
            <w:tcW w:w="791" w:type="dxa"/>
            <w:vAlign w:val="center"/>
          </w:tcPr>
          <w:p w:rsidR="00F80FD9" w:rsidRDefault="00F80FD9" w:rsidP="00AE08D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3267" w:type="dxa"/>
            <w:vAlign w:val="center"/>
          </w:tcPr>
          <w:p w:rsidR="00D400C6" w:rsidRPr="00F80FD9" w:rsidRDefault="00D400C6" w:rsidP="00D400C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Обязательное  выставление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поставщику (подрядчику, исполнителю)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требований об уплате неустоек (штрафов, пеней) при</w:t>
            </w:r>
          </w:p>
          <w:p w:rsidR="00F80FD9" w:rsidRPr="00767F27" w:rsidRDefault="00302ADC" w:rsidP="00D400C6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неи</w:t>
            </w:r>
            <w:r w:rsidR="00D400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сполнении или ненадлежащем исполнении обязательств по контракту</w:t>
            </w:r>
            <w:r w:rsidR="00D400C6" w:rsidRPr="00767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8" w:type="dxa"/>
            <w:vAlign w:val="center"/>
          </w:tcPr>
          <w:p w:rsidR="00F80FD9" w:rsidRPr="00767F27" w:rsidRDefault="00F80FD9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Приемка объекта закупки</w:t>
            </w:r>
          </w:p>
        </w:tc>
        <w:tc>
          <w:tcPr>
            <w:tcW w:w="2458" w:type="dxa"/>
            <w:vAlign w:val="center"/>
          </w:tcPr>
          <w:p w:rsidR="00F80FD9" w:rsidRPr="00D269DB" w:rsidRDefault="00F80FD9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67" w:type="dxa"/>
            <w:vAlign w:val="center"/>
          </w:tcPr>
          <w:p w:rsidR="00F80FD9" w:rsidRPr="00767F27" w:rsidRDefault="00737148" w:rsidP="00F80FD9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Контрактная служба</w:t>
            </w:r>
          </w:p>
        </w:tc>
        <w:tc>
          <w:tcPr>
            <w:tcW w:w="2185" w:type="dxa"/>
            <w:vAlign w:val="center"/>
          </w:tcPr>
          <w:p w:rsidR="00F80FD9" w:rsidRDefault="00F80FD9" w:rsidP="00F80FD9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  <w:p w:rsidR="00F80FD9" w:rsidRDefault="00F80FD9" w:rsidP="00F80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FD9" w:rsidRDefault="00F80FD9" w:rsidP="00767F2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D87" w:rsidRDefault="00451D87" w:rsidP="00451D87">
      <w:pPr>
        <w:spacing w:after="304"/>
        <w:ind w:right="120"/>
        <w:contextualSpacing/>
        <w:mirrorIndents/>
        <w:jc w:val="center"/>
      </w:pPr>
    </w:p>
    <w:sectPr w:rsidR="00451D87" w:rsidSect="00451D87">
      <w:pgSz w:w="16840" w:h="11900" w:orient="landscape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653" w:rsidRDefault="00300653" w:rsidP="00451D87">
      <w:r>
        <w:separator/>
      </w:r>
    </w:p>
  </w:endnote>
  <w:endnote w:type="continuationSeparator" w:id="0">
    <w:p w:rsidR="00300653" w:rsidRDefault="00300653" w:rsidP="0045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653" w:rsidRDefault="00300653" w:rsidP="00451D87">
      <w:r>
        <w:separator/>
      </w:r>
    </w:p>
  </w:footnote>
  <w:footnote w:type="continuationSeparator" w:id="0">
    <w:p w:rsidR="00300653" w:rsidRDefault="00300653" w:rsidP="00451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87"/>
    <w:rsid w:val="000119C8"/>
    <w:rsid w:val="000608C4"/>
    <w:rsid w:val="000645D4"/>
    <w:rsid w:val="00227AAB"/>
    <w:rsid w:val="0024002D"/>
    <w:rsid w:val="002573F8"/>
    <w:rsid w:val="002B06B0"/>
    <w:rsid w:val="002F61E6"/>
    <w:rsid w:val="00300653"/>
    <w:rsid w:val="00302ADC"/>
    <w:rsid w:val="003A163E"/>
    <w:rsid w:val="003D0CD0"/>
    <w:rsid w:val="00451D87"/>
    <w:rsid w:val="00522187"/>
    <w:rsid w:val="00533E8C"/>
    <w:rsid w:val="00533F50"/>
    <w:rsid w:val="00612CDF"/>
    <w:rsid w:val="00640113"/>
    <w:rsid w:val="006A4AC5"/>
    <w:rsid w:val="00737148"/>
    <w:rsid w:val="00767F27"/>
    <w:rsid w:val="007B1C80"/>
    <w:rsid w:val="007D3EE2"/>
    <w:rsid w:val="00895CF6"/>
    <w:rsid w:val="00900CBE"/>
    <w:rsid w:val="009D3F10"/>
    <w:rsid w:val="009F1514"/>
    <w:rsid w:val="009F41F4"/>
    <w:rsid w:val="00AE08D3"/>
    <w:rsid w:val="00B559A7"/>
    <w:rsid w:val="00BB4BD1"/>
    <w:rsid w:val="00CD2C62"/>
    <w:rsid w:val="00D269DB"/>
    <w:rsid w:val="00D35B8F"/>
    <w:rsid w:val="00D35F9F"/>
    <w:rsid w:val="00D400C6"/>
    <w:rsid w:val="00D47438"/>
    <w:rsid w:val="00D575DE"/>
    <w:rsid w:val="00DB3547"/>
    <w:rsid w:val="00E14711"/>
    <w:rsid w:val="00E471F0"/>
    <w:rsid w:val="00E6011A"/>
    <w:rsid w:val="00EB3B0D"/>
    <w:rsid w:val="00F80FD9"/>
    <w:rsid w:val="00F96142"/>
    <w:rsid w:val="00FA2414"/>
    <w:rsid w:val="00FC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D77985-88C4-4747-AF21-1974FAF1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1D8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51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451D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rsid w:val="00451D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451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Колонтитул"/>
    <w:basedOn w:val="a"/>
    <w:link w:val="a3"/>
    <w:rsid w:val="00451D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45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1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D8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451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D8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51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59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9A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521C-9332-416F-A786-7F67BECF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Богданова</dc:creator>
  <cp:lastModifiedBy>Пользователь Windows</cp:lastModifiedBy>
  <cp:revision>2</cp:revision>
  <cp:lastPrinted>2020-11-03T10:57:00Z</cp:lastPrinted>
  <dcterms:created xsi:type="dcterms:W3CDTF">2020-11-03T17:53:00Z</dcterms:created>
  <dcterms:modified xsi:type="dcterms:W3CDTF">2020-11-03T17:53:00Z</dcterms:modified>
</cp:coreProperties>
</file>