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9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1DC6B23" wp14:editId="0006CB3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E9" w:rsidRPr="00B13846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3E9" w:rsidRPr="00D210B8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</w:t>
      </w:r>
    </w:p>
    <w:p w:rsidR="009823E9" w:rsidRPr="00D210B8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КОММУНИКАЦИЙ </w:t>
      </w:r>
    </w:p>
    <w:p w:rsidR="009823E9" w:rsidRPr="0080375B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23E9" w:rsidRDefault="009823E9" w:rsidP="009823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9823E9" w:rsidRPr="00D210B8" w:rsidRDefault="009823E9" w:rsidP="00982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0B8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823E9" w:rsidRPr="00B03845" w:rsidRDefault="009823E9" w:rsidP="009823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E9" w:rsidRPr="0021494F" w:rsidRDefault="009823E9" w:rsidP="009823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    </w:t>
      </w:r>
      <w:r w:rsidRPr="00B038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60F27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B03845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3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0384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823E9" w:rsidRPr="0080375B" w:rsidRDefault="009823E9" w:rsidP="00982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C1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экспертном совете по проведению </w:t>
      </w:r>
    </w:p>
    <w:p w:rsidR="009823E9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конкурсных отборов по предоставлению субсидии из областного бюджета </w:t>
      </w:r>
    </w:p>
    <w:p w:rsidR="009823E9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социально ориентированным некоммерческим организациям Ленинградской области на реализацию проектов в рамках государственной программы Ленинградской области</w:t>
      </w:r>
    </w:p>
    <w:p w:rsidR="009823E9" w:rsidRPr="00D210B8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1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«Устойчивое общественное развитие в Ленинградской области»</w:t>
      </w:r>
      <w:r w:rsidRPr="00D210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823E9" w:rsidRPr="00D210B8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823E9" w:rsidRPr="00985EC1" w:rsidRDefault="009823E9" w:rsidP="009823E9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985EC1">
        <w:rPr>
          <w:sz w:val="28"/>
          <w:szCs w:val="28"/>
        </w:rPr>
        <w:t>В соответствии с пунктом 3.1 Порядка</w:t>
      </w:r>
      <w:r w:rsidRPr="00985EC1">
        <w:rPr>
          <w:b/>
          <w:sz w:val="28"/>
          <w:szCs w:val="28"/>
        </w:rPr>
        <w:t xml:space="preserve"> </w:t>
      </w:r>
      <w:r w:rsidR="00E63362">
        <w:rPr>
          <w:rStyle w:val="normaltextrun"/>
          <w:sz w:val="28"/>
          <w:szCs w:val="28"/>
        </w:rPr>
        <w:t xml:space="preserve"> определения </w:t>
      </w:r>
      <w:r w:rsidRPr="00985EC1">
        <w:rPr>
          <w:rStyle w:val="normaltextrun"/>
          <w:sz w:val="28"/>
          <w:szCs w:val="28"/>
        </w:rPr>
        <w:t xml:space="preserve">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 </w:t>
      </w:r>
      <w:r w:rsidRPr="00985EC1">
        <w:rPr>
          <w:rStyle w:val="normaltextrun"/>
          <w:sz w:val="28"/>
          <w:szCs w:val="28"/>
        </w:rPr>
        <w:br/>
        <w:t xml:space="preserve">на реализацию проектов в рамках государственной программы Ленинградской области «Устойчивое общественное развитие в Ленинградской области», утвержденного </w:t>
      </w:r>
      <w:hyperlink r:id="rId9" w:tgtFrame="_blank" w:history="1">
        <w:r w:rsidRPr="00985EC1">
          <w:rPr>
            <w:rStyle w:val="normaltextrun"/>
            <w:sz w:val="28"/>
            <w:szCs w:val="28"/>
          </w:rPr>
          <w:t>постановлением</w:t>
        </w:r>
      </w:hyperlink>
      <w:r w:rsidRPr="00985EC1">
        <w:rPr>
          <w:rStyle w:val="normaltextrun"/>
          <w:sz w:val="28"/>
          <w:szCs w:val="28"/>
        </w:rPr>
        <w:t xml:space="preserve"> Правительства Ленинградской области </w:t>
      </w:r>
      <w:r w:rsidR="00985EC1">
        <w:rPr>
          <w:rStyle w:val="normaltextrun"/>
          <w:sz w:val="28"/>
          <w:szCs w:val="28"/>
        </w:rPr>
        <w:br/>
      </w:r>
      <w:r w:rsidR="00760F27">
        <w:rPr>
          <w:rStyle w:val="normaltextrun"/>
          <w:sz w:val="28"/>
          <w:szCs w:val="28"/>
        </w:rPr>
        <w:t>от 15 февраля 2018 года № 46</w:t>
      </w:r>
      <w:r w:rsidRPr="00985EC1">
        <w:rPr>
          <w:rStyle w:val="normaltextrun"/>
          <w:sz w:val="28"/>
          <w:szCs w:val="28"/>
        </w:rPr>
        <w:t>,</w:t>
      </w:r>
      <w:r w:rsidR="00985EC1">
        <w:rPr>
          <w:rStyle w:val="normaltextrun"/>
          <w:sz w:val="28"/>
          <w:szCs w:val="28"/>
        </w:rPr>
        <w:t xml:space="preserve"> </w:t>
      </w:r>
      <w:r w:rsidR="00985EC1">
        <w:rPr>
          <w:rStyle w:val="3pt"/>
          <w:sz w:val="28"/>
          <w:szCs w:val="28"/>
        </w:rPr>
        <w:t>приказываю</w:t>
      </w:r>
      <w:r w:rsidRPr="00985EC1">
        <w:rPr>
          <w:rStyle w:val="normaltextrun"/>
          <w:sz w:val="28"/>
          <w:szCs w:val="28"/>
        </w:rPr>
        <w:t>:</w:t>
      </w:r>
      <w:r w:rsidRPr="00985EC1">
        <w:rPr>
          <w:rStyle w:val="eop"/>
          <w:sz w:val="28"/>
          <w:szCs w:val="28"/>
        </w:rPr>
        <w:t> </w:t>
      </w:r>
    </w:p>
    <w:p w:rsidR="009823E9" w:rsidRPr="00985EC1" w:rsidRDefault="009823E9" w:rsidP="00985E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proofErr w:type="gramStart"/>
      <w:r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экспертном совете по проведению конкурсных отборов по предоставлению субсидии из областного бюджета Ленинградской области социально ориентированным некоммерческим организациям Ленинградской области на реализацию</w:t>
      </w:r>
      <w:proofErr w:type="gramEnd"/>
      <w:r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рамках государственной программы Ленинградской области «Устойчивое общественное развитие </w:t>
      </w:r>
      <w:r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Ленинградской области» согласно приложению к настоящему приказу.</w:t>
      </w:r>
    </w:p>
    <w:p w:rsidR="009823E9" w:rsidRPr="00D210B8" w:rsidRDefault="00985EC1" w:rsidP="009823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3E9"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23E9"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23E9"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</w:t>
      </w:r>
      <w:r w:rsidR="009823E9"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E9" w:rsidRPr="00985EC1" w:rsidRDefault="009823E9" w:rsidP="00982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C1" w:rsidRPr="00985EC1" w:rsidRDefault="00985EC1" w:rsidP="00982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3E9" w:rsidRPr="00985EC1" w:rsidRDefault="009823E9" w:rsidP="00982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           Е. Е. </w:t>
      </w:r>
      <w:proofErr w:type="spellStart"/>
      <w:r w:rsidRPr="0098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Путронен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85EC1" w:rsidRPr="00985EC1" w:rsidTr="00374C9D">
        <w:tc>
          <w:tcPr>
            <w:tcW w:w="3473" w:type="dxa"/>
            <w:shd w:val="clear" w:color="auto" w:fill="auto"/>
          </w:tcPr>
          <w:p w:rsidR="009823E9" w:rsidRPr="00985EC1" w:rsidRDefault="009823E9" w:rsidP="0037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9823E9" w:rsidRPr="00985EC1" w:rsidRDefault="009823E9" w:rsidP="0037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9823E9" w:rsidRPr="00985EC1" w:rsidRDefault="009823E9" w:rsidP="0037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3E9" w:rsidRPr="00D210B8" w:rsidRDefault="009823E9" w:rsidP="00982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3E9" w:rsidRPr="00D210B8" w:rsidRDefault="009823E9" w:rsidP="00982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3E9" w:rsidRPr="00D210B8" w:rsidRDefault="009823E9" w:rsidP="00982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3E9" w:rsidRPr="00D210B8" w:rsidRDefault="009823E9" w:rsidP="00982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3E9" w:rsidRPr="00D210B8" w:rsidRDefault="009823E9" w:rsidP="00982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3E9" w:rsidRPr="00D210B8" w:rsidRDefault="009823E9" w:rsidP="009823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5EC1" w:rsidRDefault="00985EC1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5EC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B0BB" wp14:editId="7DF7CD72">
                <wp:simplePos x="0" y="0"/>
                <wp:positionH relativeFrom="column">
                  <wp:posOffset>4048760</wp:posOffset>
                </wp:positionH>
                <wp:positionV relativeFrom="paragraph">
                  <wp:posOffset>-224155</wp:posOffset>
                </wp:positionV>
                <wp:extent cx="2374265" cy="1403985"/>
                <wp:effectExtent l="0" t="0" r="1524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C1" w:rsidRDefault="00985EC1" w:rsidP="0098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985EC1" w:rsidRPr="00985EC1" w:rsidRDefault="00985EC1" w:rsidP="0098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приказу Комите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 </w:t>
                            </w:r>
                            <w:r w:rsidRPr="00985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общественных коммуникаций </w:t>
                            </w:r>
                          </w:p>
                          <w:p w:rsidR="00985EC1" w:rsidRPr="00985EC1" w:rsidRDefault="00985EC1" w:rsidP="0098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Ленинградской области </w:t>
                            </w:r>
                          </w:p>
                          <w:p w:rsidR="00985EC1" w:rsidRPr="00985EC1" w:rsidRDefault="00A85619" w:rsidP="0098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от__._______2021</w:t>
                            </w:r>
                            <w:r w:rsidR="00985EC1" w:rsidRPr="00985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№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.8pt;margin-top:-17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" strokecolor="white [3212]">
                <v:textbox style="mso-fit-shape-to-text:t">
                  <w:txbxContent>
                    <w:p w:rsidR="00985EC1" w:rsidRDefault="00985EC1" w:rsidP="0098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985EC1" w:rsidRPr="00985EC1" w:rsidRDefault="00985EC1" w:rsidP="0098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приказу Комите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 </w:t>
                      </w:r>
                      <w:r w:rsidRPr="00985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общественных коммуникаций </w:t>
                      </w:r>
                    </w:p>
                    <w:p w:rsidR="00985EC1" w:rsidRPr="00985EC1" w:rsidRDefault="00985EC1" w:rsidP="0098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Ленинградской области </w:t>
                      </w:r>
                    </w:p>
                    <w:p w:rsidR="00985EC1" w:rsidRPr="00985EC1" w:rsidRDefault="00A85619" w:rsidP="0098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от__._______2021</w:t>
                      </w:r>
                      <w:bookmarkStart w:id="1" w:name="_GoBack"/>
                      <w:bookmarkEnd w:id="1"/>
                      <w:r w:rsidR="00985EC1" w:rsidRPr="00985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№ __</w:t>
                      </w:r>
                    </w:p>
                  </w:txbxContent>
                </v:textbox>
              </v:shape>
            </w:pict>
          </mc:Fallback>
        </mc:AlternateContent>
      </w:r>
    </w:p>
    <w:p w:rsidR="00985EC1" w:rsidRDefault="00985EC1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3E9" w:rsidRDefault="009823E9" w:rsidP="009823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5EC1" w:rsidRDefault="00985EC1" w:rsidP="009823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24D7" w:rsidRPr="00D210B8" w:rsidRDefault="002A24D7" w:rsidP="009823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3E9" w:rsidRPr="002A24D7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proofErr w:type="gramStart"/>
      <w:r w:rsidRPr="002A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экспертном совете по проведению конкурсных отборов </w:t>
      </w:r>
      <w:r w:rsidRPr="002A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предоставлению субсидии из областного бюджета Ленинградской области социально ориентированным некоммерческим организациям Ленинградской области на реализацию</w:t>
      </w:r>
      <w:proofErr w:type="gramEnd"/>
      <w:r w:rsidRPr="002A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в рамках государственной программы Ленинградской области «Устойчивое общественное развитие </w:t>
      </w:r>
    </w:p>
    <w:p w:rsidR="009823E9" w:rsidRPr="002A24D7" w:rsidRDefault="009823E9" w:rsidP="0098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Ленинградской области»</w:t>
      </w:r>
    </w:p>
    <w:p w:rsidR="009823E9" w:rsidRPr="0020650F" w:rsidRDefault="009823E9" w:rsidP="0098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E9" w:rsidRPr="002A24D7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823E9" w:rsidRPr="0020650F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23E9" w:rsidRPr="002A24D7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деятельности экспертного совета </w:t>
      </w:r>
      <w:proofErr w:type="gramStart"/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среди соискателей на право получения ими субсидий из областного бюджета Ленинградской области социально ориентированным некоммерческим организациям Ленинградской области </w:t>
      </w: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реализацию</w:t>
      </w:r>
      <w:proofErr w:type="gramEnd"/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рамках государственной программы Ленинградской области «Устойчивое общественное развитие в Ленинградской области» (далее </w:t>
      </w:r>
      <w:r w:rsidR="00452DC5"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экспертный совет).</w:t>
      </w:r>
    </w:p>
    <w:p w:rsidR="009823E9" w:rsidRPr="002A24D7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экспертный совет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 </w:t>
      </w:r>
      <w:r w:rsidR="002A24D7"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коммуникаций</w:t>
      </w: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а также настоящим Положением.</w:t>
      </w:r>
    </w:p>
    <w:p w:rsidR="009823E9" w:rsidRPr="002A24D7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Экспертный совет является совещательным коллегиальным органом </w:t>
      </w: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осуществляет свою работу на общественных началах. Организационное обеспечение работы экспертного совета осуществляет Комитет </w:t>
      </w:r>
      <w:r w:rsidR="002A24D7"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коммуникаций </w:t>
      </w: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(далее </w:t>
      </w:r>
      <w:r w:rsidR="00452DC5"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Комитет).</w:t>
      </w:r>
    </w:p>
    <w:p w:rsidR="009823E9" w:rsidRPr="0020650F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E9" w:rsidRPr="002A24D7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экспертного совета</w:t>
      </w:r>
    </w:p>
    <w:p w:rsidR="009823E9" w:rsidRPr="0020650F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23E9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Экспертный совет формируется Комитетом в соответствии с пун</w:t>
      </w:r>
      <w:r w:rsidR="00CC7B01"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3.1. Порядка определения </w:t>
      </w: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 на реализацию проектов в рамках государственной программы Ленинградской области «Устойчивое общественное развитие в Ленинградской области», утвержденного постановлением Правитель</w:t>
      </w:r>
      <w:r w:rsidR="00731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Ленинградской области от 15 февраля 2018 года № 46</w:t>
      </w: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870CD1" w:rsidRDefault="00870CD1" w:rsidP="00C7709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Экспертный </w:t>
      </w:r>
      <w:r>
        <w:rPr>
          <w:rFonts w:ascii="Times New Roman" w:hAnsi="Times New Roman"/>
          <w:sz w:val="28"/>
          <w:szCs w:val="28"/>
        </w:rPr>
        <w:t xml:space="preserve">совет формируется в составе председателя экспертного совета, членов экспертного совета и секретаря экспертного совета. Общее количество членов экспертного совета </w:t>
      </w:r>
      <w:r w:rsidR="00C7709C">
        <w:rPr>
          <w:rFonts w:ascii="Times New Roman" w:hAnsi="Times New Roman"/>
          <w:sz w:val="28"/>
          <w:szCs w:val="28"/>
        </w:rPr>
        <w:t xml:space="preserve">должно составлять </w:t>
      </w:r>
      <w:r>
        <w:rPr>
          <w:rFonts w:ascii="Times New Roman" w:hAnsi="Times New Roman"/>
          <w:sz w:val="28"/>
          <w:szCs w:val="28"/>
        </w:rPr>
        <w:t>не менее семи человек.</w:t>
      </w:r>
    </w:p>
    <w:p w:rsidR="009823E9" w:rsidRDefault="00C7709C" w:rsidP="00C7709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Состав экспертного совета утверждается распоряжением Комитета </w:t>
      </w:r>
      <w:r>
        <w:rPr>
          <w:rFonts w:ascii="Times New Roman" w:hAnsi="Times New Roman"/>
          <w:sz w:val="28"/>
          <w:szCs w:val="28"/>
        </w:rPr>
        <w:br/>
        <w:t>для каждого конкурсного отбора.</w:t>
      </w:r>
    </w:p>
    <w:p w:rsidR="00C7709C" w:rsidRPr="00C7709C" w:rsidRDefault="00C7709C" w:rsidP="00C7709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3E9" w:rsidRPr="00CC7B0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экспертного совета</w:t>
      </w:r>
    </w:p>
    <w:p w:rsidR="009823E9" w:rsidRPr="0020650F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23E9" w:rsidRPr="00CC7B0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Председатель экспертного совета осуществляет следующие функции:</w:t>
      </w:r>
    </w:p>
    <w:p w:rsidR="009823E9" w:rsidRPr="00CC7B0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полномочиями члена экспертного совета;</w:t>
      </w:r>
    </w:p>
    <w:p w:rsidR="009823E9" w:rsidRPr="00CC7B0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экспертного совета;</w:t>
      </w:r>
    </w:p>
    <w:p w:rsidR="009823E9" w:rsidRPr="00CC7B0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необходимые для организации надлежащей деятельности экспертного совета;</w:t>
      </w:r>
    </w:p>
    <w:p w:rsidR="009823E9" w:rsidRPr="00CC7B0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заседание экспертного совета, а также обеспечивает и контролирует выполнение решений экспертного совета.</w:t>
      </w:r>
    </w:p>
    <w:p w:rsidR="009823E9" w:rsidRPr="00CC7B0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Члены экспертного совета:</w:t>
      </w:r>
    </w:p>
    <w:p w:rsidR="009823E9" w:rsidRPr="00CC7B01" w:rsidRDefault="009823E9" w:rsidP="00C7709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рассматривают </w:t>
      </w:r>
      <w:r w:rsidR="0045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5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1C67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6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67D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 конкурсный отбор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="001C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соискателей, претендующих на получение субсидий из областного бюджета Ленинг</w:t>
      </w:r>
      <w:r w:rsidR="001C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(далее </w:t>
      </w:r>
      <w:r w:rsidR="0045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</w:t>
      </w:r>
      <w:r w:rsidR="00453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</w:t>
      </w: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23E9" w:rsidRPr="000740B7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проверяют документы и сведения, представленные соискателями</w:t>
      </w:r>
      <w:r w:rsidR="001C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заявок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предмет наличия (отсутствия) оснований для отказа в предоставлении субсидии, предусмотренных подпун</w:t>
      </w:r>
      <w:r w:rsidR="0069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1-6</w:t>
      </w:r>
      <w:r w:rsidR="001C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Порядка;</w:t>
      </w:r>
    </w:p>
    <w:p w:rsidR="009823E9" w:rsidRPr="000740B7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оценивают заявления о предоставлении субсидии, </w:t>
      </w:r>
      <w:r w:rsidR="0069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соискателями, </w:t>
      </w:r>
      <w:r w:rsidR="00696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 заявл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предоставлении субсидии</w:t>
      </w:r>
      <w:r w:rsidRPr="00074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3E9" w:rsidRPr="00C64004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обсуждении вопросов, внесенных в повестку дня заседания экспертного совета;</w:t>
      </w:r>
    </w:p>
    <w:p w:rsidR="009823E9" w:rsidRPr="00C64004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достоверность отраженной в протоколе заседания экспертного совета информации; </w:t>
      </w:r>
    </w:p>
    <w:p w:rsidR="009823E9" w:rsidRPr="00C64004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заседаниях экспертного совета;</w:t>
      </w:r>
    </w:p>
    <w:p w:rsidR="009823E9" w:rsidRPr="00C64004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рейтинг</w:t>
      </w:r>
      <w:r w:rsidRPr="00C6400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64004"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искателей согласно пункту 3.16.5</w:t>
      </w: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9823E9" w:rsidRPr="0020650F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решение </w:t>
      </w:r>
      <w:r w:rsidR="00996861" w:rsidRP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рекомендации </w:t>
      </w:r>
      <w:r w:rsidR="00A8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соискателей </w:t>
      </w:r>
      <w:r w:rsidR="00D3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861" w:rsidRP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1A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сформированного рейтинга</w:t>
      </w:r>
      <w:r w:rsidRP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3E9" w:rsidRPr="00C64004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подписывают протоко</w:t>
      </w:r>
      <w:proofErr w:type="gramStart"/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ы) заседания экспертного совета;</w:t>
      </w:r>
    </w:p>
    <w:p w:rsidR="009823E9" w:rsidRPr="00C64004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иные полномочия, необходимые для надлежащего осуществления своей деятельности.</w:t>
      </w:r>
    </w:p>
    <w:p w:rsidR="009823E9" w:rsidRPr="00E112EE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экспертного совета:</w:t>
      </w:r>
    </w:p>
    <w:p w:rsidR="00C7709C" w:rsidRDefault="00C7709C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полномочиями члена экспертного совета;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для ознакомления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экспертного совета журнал</w:t>
      </w:r>
      <w:r w:rsidR="00C7709C"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заявок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7709C"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конкурсный отбор, в течение 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рабочих дней </w:t>
      </w:r>
      <w:proofErr w:type="gramStart"/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передачи</w:t>
      </w:r>
      <w:proofErr w:type="gramEnd"/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экспертному совету указанных документов;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экспертного совета, о времени, месте, форме проведения заседаний;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</w:t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заседания экспертного совета; 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заседания экспертного сове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режиме видеоконференцсвязи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помещения и техник</w:t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подключения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оповещает соискателей о дате, времени и месте проведения второго этапа конкурсног</w:t>
      </w:r>
      <w:r w:rsid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отбора с целью очного участия</w:t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соискателей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</w:t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за 1 рабочий день до его начала;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организацию проведения очной оценки проекта соискателя </w:t>
      </w:r>
      <w:r w:rsid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второго этапа конкурсного отбора;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подсчет набранных баллов соискателями согласно пункту 3.16.3. Порядка;</w:t>
      </w:r>
    </w:p>
    <w:p w:rsidR="009823E9" w:rsidRPr="00996861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экспертного совета;</w:t>
      </w:r>
    </w:p>
    <w:p w:rsidR="009823E9" w:rsidRPr="00230738" w:rsidRDefault="009823E9" w:rsidP="00C7709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хранение протоколов, составленных в ходе проведения конкурсного отбора, и документов, относящихся к организации конкурсного отбора и деятельности экспертного совета,</w:t>
      </w:r>
      <w:r w:rsidRPr="005A55DF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5A5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проведения конкурсного отбора.</w:t>
      </w:r>
    </w:p>
    <w:p w:rsidR="009823E9" w:rsidRPr="00344D93" w:rsidRDefault="00C7709C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D5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</w:t>
      </w:r>
      <w:r w:rsidR="009823E9" w:rsidRPr="0034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экспертным советом, согласно пункту 3.17. Порядка.</w:t>
      </w:r>
    </w:p>
    <w:p w:rsidR="009823E9" w:rsidRPr="005A55DF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председателя экспертного совета.</w:t>
      </w:r>
    </w:p>
    <w:p w:rsidR="009823E9" w:rsidRDefault="00C7709C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23E9"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Экспертного совета не вправе делегировать свои полномочия другим лицам.</w:t>
      </w:r>
    </w:p>
    <w:p w:rsidR="0020650F" w:rsidRPr="0020650F" w:rsidRDefault="0020650F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E9" w:rsidRPr="00C0007B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деятельности экспертного совета</w:t>
      </w:r>
    </w:p>
    <w:p w:rsidR="009823E9" w:rsidRPr="0020650F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23E9" w:rsidRPr="00C0007B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Экспертный совет принимает конкурсные заявки, представленные </w:t>
      </w: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конкурсный отбор, а также журнал регистрации заявок на участие в конкурсном отборе от Комитета согласно пункту 3.14. Порядка.</w:t>
      </w:r>
    </w:p>
    <w:p w:rsidR="009823E9" w:rsidRPr="00C0007B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проведения конкурсного отбора экспертный совет:</w:t>
      </w:r>
    </w:p>
    <w:p w:rsidR="009823E9" w:rsidRPr="00C0007B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первом этапе конкурсного отбора рассматривает </w:t>
      </w:r>
      <w:r w:rsidR="006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проверяет </w:t>
      </w: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6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наличия (отсутствия) оснований для отказа в предоставлении субсидии,</w:t>
      </w:r>
      <w:r w:rsidR="0065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подпунктами 1-6 пункта 2.2. Порядка.</w:t>
      </w: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первого этапа рассмотрения заявок отражаются в протоколе</w:t>
      </w: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3E9" w:rsidRPr="00655D2F" w:rsidRDefault="009823E9" w:rsidP="00655D2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втором этапе конкурсного отбо</w:t>
      </w:r>
      <w:r w:rsidR="00655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осуществляет оценку заявлений соискателей, прошедших первый этап, в соответствии с ус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тановленными критериями оценки;</w:t>
      </w:r>
    </w:p>
    <w:p w:rsidR="00796D20" w:rsidRPr="00C0007B" w:rsidRDefault="009823E9" w:rsidP="00796D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 и анализирует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рассмотрения заявок, 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796D20"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</w:t>
      </w:r>
      <w:r w:rsidR="00796D20" w:rsidRPr="00C6400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="00796D20" w:rsidRPr="00C6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 согласно пункту 3.16.5. Порядка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3E9" w:rsidRPr="00AC58E2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AC58E2"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о рекомендации 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соискателей</w:t>
      </w:r>
      <w:r w:rsidR="00796D20"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8E2"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основании сформированного рейтинга</w:t>
      </w:r>
      <w:r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3E9" w:rsidRPr="00AC58E2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конфликтные ситуации, возникшие в ходе рассмотрения заявок и проведения конкурсного отбора, и принимает меры по их разрешению;</w:t>
      </w:r>
    </w:p>
    <w:p w:rsidR="009823E9" w:rsidRPr="00AC58E2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разъяснения по вопросам, связанным с проведением конкурсного отбора.</w:t>
      </w:r>
    </w:p>
    <w:p w:rsidR="009823E9" w:rsidRPr="00AC58E2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Заседание экспертного совета считается правомочным при участии </w:t>
      </w:r>
      <w:r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нем не менее 50% от общего числа его 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AC5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E9" w:rsidRPr="00D210B8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C58E2"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член экспертного совета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(прямо или косвенно) заинтересован в итогах конкурсного отбора или имеются иные обстоятельства, способные повл</w:t>
      </w:r>
      <w:r w:rsidR="00AC58E2"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иять на участие члена экспертного совета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заседании экспертно</w:t>
      </w:r>
      <w:r w:rsidR="00AC58E2"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обязан </w:t>
      </w:r>
      <w:r w:rsidR="00796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рассмотрения заявок и прекратить 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</w:t>
      </w:r>
      <w:r w:rsidR="00A8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836CC3"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спертного совета.</w:t>
      </w:r>
    </w:p>
    <w:p w:rsidR="009823E9" w:rsidRPr="00836CC3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приказа используется понятие «личная заинтересованность», установленное частью 2 статьи 10 Федерального закона </w:t>
      </w:r>
      <w:r w:rsidR="0020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коррупции».</w:t>
      </w:r>
    </w:p>
    <w:p w:rsidR="009823E9" w:rsidRPr="00836CC3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 обстоятельствам, исключающим возможность участия члена экспертного совета в заседании экспертного совета, относятся:</w:t>
      </w:r>
    </w:p>
    <w:p w:rsidR="009823E9" w:rsidRPr="00836CC3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(в том числе в течение последних 12 месяцев) члена экспертного совета или его близких родственников в деятельности организации, являющейся соискателем, претендующим на получение субсидии, в качестве учредителя, члена коллегиального органа, единоличного исполнительного органа или работника;</w:t>
      </w:r>
    </w:p>
    <w:p w:rsidR="009823E9" w:rsidRPr="00836CC3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210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(в том числе в течение последних 2 лет) у члена экспертного совета или его близких родственников договорных отношений с организацией, являющейся соискателем, претендующим на получение субсидии;</w:t>
      </w:r>
    </w:p>
    <w:p w:rsidR="009823E9" w:rsidRPr="00836CC3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получение (в том числе в течение последних 2 лет) членом экспертного совета или его близкими родственниками денежных средств, иного имущества, материальной выгоды (в том числе в виде безвозмездно полученных работ, услуг) 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организации, являющейся соискателем, претендующим на получение субсидии;</w:t>
      </w:r>
    </w:p>
    <w:p w:rsidR="009823E9" w:rsidRPr="00836CC3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(в том числе в течение последних 2 лет) у члена экспертного совета или его близких родственников судебных споров с организацией, являющейся соискателем, претендующим на получение субсидии, ее учредителем </w:t>
      </w:r>
      <w:r w:rsidRPr="00836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руководителем;</w:t>
      </w:r>
    </w:p>
    <w:p w:rsidR="009823E9" w:rsidRPr="00E63362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участие (в том числе в течение последн</w:t>
      </w:r>
      <w:r w:rsidR="00836CC3"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12 месяцев) члена экспертного совета</w:t>
      </w: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работе организации, являющейся соискателем, претендующим на получение субсидии;</w:t>
      </w:r>
    </w:p>
    <w:p w:rsidR="009823E9" w:rsidRPr="00E63362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оказание членом экспертного совета содействия организации, являющейся соискателем, претендующим на получение субсидии, в подготовке заявки </w:t>
      </w: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случаев консультирования на безвозмездной основе путем ответов на вопросы по подготовке заявки);</w:t>
      </w:r>
    </w:p>
    <w:p w:rsidR="009823E9" w:rsidRPr="00E63362" w:rsidRDefault="009823E9" w:rsidP="00982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обстоятельства, способные повлиять на участие члена экспертного совета в работе экспертного совета.</w:t>
      </w:r>
    </w:p>
    <w:p w:rsidR="00E63362" w:rsidRPr="00452DC5" w:rsidRDefault="009823E9" w:rsidP="00452DC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E63362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выяснении о</w:t>
      </w:r>
      <w:r w:rsidR="00452DC5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бстоятельств, указанных в пунктах 4.4.-</w:t>
      </w:r>
      <w:r w:rsidR="00E63362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настоящего Положения, экспертный совет принимает решение об </w:t>
      </w:r>
      <w:r w:rsid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отстранении </w:t>
      </w:r>
      <w:r w:rsidR="00E63362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452DC5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 w:rsid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2DC5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2DC5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участия в заседании</w:t>
      </w:r>
      <w:r w:rsidR="00E63362" w:rsidRP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3E9" w:rsidRDefault="009823E9" w:rsidP="0020650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Информация о наличии у члена экспертного совета личной заинтересованности в итогах конкурсного отбора или иных обстоятельствах, способных повл</w:t>
      </w:r>
      <w:r w:rsidR="00E63362"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иять на участие члена экспертного совета</w:t>
      </w: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экспертного совета, а также решения, принятые по результатам рассмотрения </w:t>
      </w:r>
      <w:r w:rsidR="004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E6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указываются в протоколе заседания экспертного совета.</w:t>
      </w:r>
    </w:p>
    <w:p w:rsidR="00452DC5" w:rsidRPr="0020650F" w:rsidRDefault="00452DC5" w:rsidP="00BA72C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52DC5" w:rsidRPr="0020650F" w:rsidSect="00B13846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69" w:rsidRDefault="00FB6269">
      <w:pPr>
        <w:spacing w:after="0" w:line="240" w:lineRule="auto"/>
      </w:pPr>
      <w:r>
        <w:separator/>
      </w:r>
    </w:p>
  </w:endnote>
  <w:endnote w:type="continuationSeparator" w:id="0">
    <w:p w:rsidR="00FB6269" w:rsidRDefault="00FB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69" w:rsidRDefault="00FB6269">
      <w:pPr>
        <w:spacing w:after="0" w:line="240" w:lineRule="auto"/>
      </w:pPr>
      <w:r>
        <w:separator/>
      </w:r>
    </w:p>
  </w:footnote>
  <w:footnote w:type="continuationSeparator" w:id="0">
    <w:p w:rsidR="00FB6269" w:rsidRDefault="00FB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3C" w:rsidRDefault="009823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74F3C" w:rsidRDefault="00FB62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15502"/>
      <w:docPartObj>
        <w:docPartGallery w:val="Page Numbers (Top of Page)"/>
        <w:docPartUnique/>
      </w:docPartObj>
    </w:sdtPr>
    <w:sdtEndPr/>
    <w:sdtContent>
      <w:p w:rsidR="00574F3C" w:rsidRDefault="009823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2CE">
          <w:rPr>
            <w:noProof/>
          </w:rPr>
          <w:t>2</w:t>
        </w:r>
        <w:r>
          <w:fldChar w:fldCharType="end"/>
        </w:r>
      </w:p>
    </w:sdtContent>
  </w:sdt>
  <w:p w:rsidR="00574F3C" w:rsidRDefault="00FB6269" w:rsidP="00F43D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34"/>
    <w:rsid w:val="000740B7"/>
    <w:rsid w:val="00077A4D"/>
    <w:rsid w:val="001A4812"/>
    <w:rsid w:val="001C67D3"/>
    <w:rsid w:val="0020650F"/>
    <w:rsid w:val="00230738"/>
    <w:rsid w:val="002A24D7"/>
    <w:rsid w:val="003220DE"/>
    <w:rsid w:val="00335A61"/>
    <w:rsid w:val="00344D93"/>
    <w:rsid w:val="0036267E"/>
    <w:rsid w:val="00452DC5"/>
    <w:rsid w:val="00453871"/>
    <w:rsid w:val="00471734"/>
    <w:rsid w:val="005461F5"/>
    <w:rsid w:val="005A55DF"/>
    <w:rsid w:val="00655D2F"/>
    <w:rsid w:val="00665E66"/>
    <w:rsid w:val="00696CF7"/>
    <w:rsid w:val="00731AA7"/>
    <w:rsid w:val="00760F27"/>
    <w:rsid w:val="00796D20"/>
    <w:rsid w:val="00836CC3"/>
    <w:rsid w:val="00870CD1"/>
    <w:rsid w:val="008D53F4"/>
    <w:rsid w:val="009823E9"/>
    <w:rsid w:val="00985EC1"/>
    <w:rsid w:val="00996861"/>
    <w:rsid w:val="00A85619"/>
    <w:rsid w:val="00AC58E2"/>
    <w:rsid w:val="00BA72CE"/>
    <w:rsid w:val="00C0007B"/>
    <w:rsid w:val="00C64004"/>
    <w:rsid w:val="00C7709C"/>
    <w:rsid w:val="00CC7B01"/>
    <w:rsid w:val="00D369C4"/>
    <w:rsid w:val="00E022B0"/>
    <w:rsid w:val="00E112EE"/>
    <w:rsid w:val="00E63362"/>
    <w:rsid w:val="00F5763D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3E9"/>
  </w:style>
  <w:style w:type="character" w:styleId="a5">
    <w:name w:val="page number"/>
    <w:basedOn w:val="a0"/>
    <w:rsid w:val="009823E9"/>
  </w:style>
  <w:style w:type="paragraph" w:customStyle="1" w:styleId="paragraph">
    <w:name w:val="paragraph"/>
    <w:basedOn w:val="a"/>
    <w:rsid w:val="0098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23E9"/>
  </w:style>
  <w:style w:type="character" w:customStyle="1" w:styleId="eop">
    <w:name w:val="eop"/>
    <w:basedOn w:val="a0"/>
    <w:rsid w:val="009823E9"/>
  </w:style>
  <w:style w:type="paragraph" w:styleId="a6">
    <w:name w:val="Balloon Text"/>
    <w:basedOn w:val="a"/>
    <w:link w:val="a7"/>
    <w:uiPriority w:val="99"/>
    <w:semiHidden/>
    <w:unhideWhenUsed/>
    <w:rsid w:val="0098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E9"/>
    <w:rPr>
      <w:rFonts w:ascii="Tahoma" w:hAnsi="Tahoma" w:cs="Tahoma"/>
      <w:sz w:val="16"/>
      <w:szCs w:val="16"/>
    </w:rPr>
  </w:style>
  <w:style w:type="character" w:customStyle="1" w:styleId="3pt">
    <w:name w:val="Основной текст + Интервал 3 pt"/>
    <w:rsid w:val="0098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3E9"/>
  </w:style>
  <w:style w:type="character" w:styleId="a5">
    <w:name w:val="page number"/>
    <w:basedOn w:val="a0"/>
    <w:rsid w:val="009823E9"/>
  </w:style>
  <w:style w:type="paragraph" w:customStyle="1" w:styleId="paragraph">
    <w:name w:val="paragraph"/>
    <w:basedOn w:val="a"/>
    <w:rsid w:val="0098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23E9"/>
  </w:style>
  <w:style w:type="character" w:customStyle="1" w:styleId="eop">
    <w:name w:val="eop"/>
    <w:basedOn w:val="a0"/>
    <w:rsid w:val="009823E9"/>
  </w:style>
  <w:style w:type="paragraph" w:styleId="a6">
    <w:name w:val="Balloon Text"/>
    <w:basedOn w:val="a"/>
    <w:link w:val="a7"/>
    <w:uiPriority w:val="99"/>
    <w:semiHidden/>
    <w:unhideWhenUsed/>
    <w:rsid w:val="0098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E9"/>
    <w:rPr>
      <w:rFonts w:ascii="Tahoma" w:hAnsi="Tahoma" w:cs="Tahoma"/>
      <w:sz w:val="16"/>
      <w:szCs w:val="16"/>
    </w:rPr>
  </w:style>
  <w:style w:type="character" w:customStyle="1" w:styleId="3pt">
    <w:name w:val="Основной текст + Интервал 3 pt"/>
    <w:rsid w:val="0098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446157FE908A7AA4287A543883023EEE29BA64223DCC64A14ADBEC60ADA17BF82DB357CA39652534BB27B62F8FA1F5B776F7C6C01498F9EEY2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950D-81AA-41D8-8FA3-7BFF9B5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 Бортникова</dc:creator>
  <cp:keywords/>
  <dc:description/>
  <cp:lastModifiedBy>Ксения Александров Бортникова</cp:lastModifiedBy>
  <cp:revision>9</cp:revision>
  <cp:lastPrinted>2021-01-20T10:44:00Z</cp:lastPrinted>
  <dcterms:created xsi:type="dcterms:W3CDTF">2021-01-19T08:38:00Z</dcterms:created>
  <dcterms:modified xsi:type="dcterms:W3CDTF">2021-01-26T08:36:00Z</dcterms:modified>
</cp:coreProperties>
</file>