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15" w:rsidRDefault="00C22E15" w:rsidP="00C22E1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C22E15" w:rsidRDefault="00C22E15" w:rsidP="00C22E15">
      <w:pPr>
        <w:pStyle w:val="ConsPlusTitle"/>
        <w:jc w:val="center"/>
      </w:pPr>
    </w:p>
    <w:p w:rsidR="00C22E15" w:rsidRDefault="00C22E15" w:rsidP="00C22E15">
      <w:pPr>
        <w:pStyle w:val="ConsPlusTitle"/>
        <w:jc w:val="center"/>
      </w:pPr>
      <w:r>
        <w:t>ПОСТАНОВЛЕНИЕ</w:t>
      </w:r>
    </w:p>
    <w:p w:rsidR="00C22E15" w:rsidRDefault="00C22E15" w:rsidP="00C22E15">
      <w:pPr>
        <w:pStyle w:val="ConsPlusTitle"/>
        <w:jc w:val="center"/>
      </w:pPr>
      <w:r>
        <w:t>от 29 июня 2015 г. N 246</w:t>
      </w:r>
    </w:p>
    <w:p w:rsidR="00C22E15" w:rsidRDefault="00C22E15" w:rsidP="00C22E15">
      <w:pPr>
        <w:pStyle w:val="ConsPlusTitle"/>
        <w:jc w:val="center"/>
      </w:pPr>
    </w:p>
    <w:p w:rsidR="00C22E15" w:rsidRDefault="00C22E15" w:rsidP="00C22E15">
      <w:pPr>
        <w:pStyle w:val="ConsPlusTitle"/>
        <w:jc w:val="center"/>
      </w:pPr>
      <w:r>
        <w:t>ОБ УТВЕРЖДЕНИИ ПОРЯДКА РАЗРАБОТКИ И УТВЕРЖДЕНИЯ БЮДЖЕТНОГО</w:t>
      </w:r>
    </w:p>
    <w:p w:rsidR="00C22E15" w:rsidRDefault="00C22E15" w:rsidP="00C22E15">
      <w:pPr>
        <w:pStyle w:val="ConsPlusTitle"/>
        <w:jc w:val="center"/>
      </w:pPr>
      <w:r>
        <w:t>ПРОГНОЗА ЛЕНИНГРАДСКОЙ ОБЛАСТИ НА ДОЛГОСРОЧНЫЙ ПЕРИОД</w:t>
      </w:r>
    </w:p>
    <w:p w:rsidR="00C22E15" w:rsidRDefault="00C22E15" w:rsidP="00C22E1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22E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E15" w:rsidRDefault="00C22E15" w:rsidP="00C22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E15" w:rsidRDefault="00C22E15" w:rsidP="00C22E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22E15" w:rsidRDefault="00C22E15" w:rsidP="00C22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5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07.03.2019 </w:t>
            </w:r>
            <w:hyperlink r:id="rId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16.03.2020 </w:t>
            </w:r>
            <w:hyperlink r:id="rId7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C22E15" w:rsidRDefault="00C22E15" w:rsidP="00C22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13.02.2023 </w:t>
            </w:r>
            <w:hyperlink r:id="rId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</w:tr>
    </w:tbl>
    <w:p w:rsidR="00C22E15" w:rsidRDefault="00C22E15" w:rsidP="00C22E15">
      <w:pPr>
        <w:pStyle w:val="ConsPlusNormal"/>
        <w:jc w:val="center"/>
      </w:pPr>
    </w:p>
    <w:p w:rsidR="00C22E15" w:rsidRDefault="00C22E15" w:rsidP="00C22E1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4 статьи 170.1</w:t>
        </w:r>
      </w:hyperlink>
      <w:r>
        <w:t xml:space="preserve"> Бюджетного кодекса Российской Федерации Правительство Ленинградской области постановляет: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разработки и утверждения бюджетного прогноза Ленинградской области на долгосрочный период.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C22E15" w:rsidRDefault="00C22E15" w:rsidP="00C22E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14.09.2016 N 349)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right"/>
      </w:pPr>
      <w:r>
        <w:t>Временно исполняющий</w:t>
      </w:r>
    </w:p>
    <w:p w:rsidR="00C22E15" w:rsidRDefault="00C22E15" w:rsidP="00C22E15">
      <w:pPr>
        <w:pStyle w:val="ConsPlusNormal"/>
        <w:jc w:val="right"/>
      </w:pPr>
      <w:r>
        <w:t>обязанности Губернатора</w:t>
      </w:r>
    </w:p>
    <w:p w:rsidR="00C22E15" w:rsidRDefault="00C22E15" w:rsidP="00C22E15">
      <w:pPr>
        <w:pStyle w:val="ConsPlusNormal"/>
        <w:jc w:val="right"/>
      </w:pPr>
      <w:r>
        <w:t>Ленинградской области</w:t>
      </w:r>
    </w:p>
    <w:p w:rsidR="00C22E15" w:rsidRDefault="00C22E15" w:rsidP="00C22E15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0"/>
      </w:pPr>
      <w:r>
        <w:t>УТВЕРЖДЕН</w:t>
      </w:r>
    </w:p>
    <w:p w:rsidR="00C22E15" w:rsidRDefault="00C22E15" w:rsidP="00C22E15">
      <w:pPr>
        <w:pStyle w:val="ConsPlusNormal"/>
        <w:jc w:val="right"/>
      </w:pPr>
      <w:r>
        <w:t>постановлением Правительства</w:t>
      </w:r>
    </w:p>
    <w:p w:rsidR="00C22E15" w:rsidRDefault="00C22E15" w:rsidP="00C22E15">
      <w:pPr>
        <w:pStyle w:val="ConsPlusNormal"/>
        <w:jc w:val="right"/>
      </w:pPr>
      <w:r>
        <w:t>Ленинградской области</w:t>
      </w:r>
    </w:p>
    <w:p w:rsidR="00C22E15" w:rsidRDefault="00C22E15" w:rsidP="00C22E15">
      <w:pPr>
        <w:pStyle w:val="ConsPlusNormal"/>
        <w:jc w:val="right"/>
      </w:pPr>
      <w:r>
        <w:t>от 29.06.2015 N 246</w:t>
      </w:r>
    </w:p>
    <w:p w:rsidR="00C22E15" w:rsidRDefault="00C22E15" w:rsidP="00C22E15">
      <w:pPr>
        <w:pStyle w:val="ConsPlusNormal"/>
        <w:jc w:val="right"/>
      </w:pPr>
      <w:r>
        <w:t>(приложение)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Title"/>
        <w:jc w:val="center"/>
      </w:pPr>
      <w:bookmarkStart w:id="0" w:name="P34"/>
      <w:bookmarkEnd w:id="0"/>
      <w:r>
        <w:t>ПОРЯДОК</w:t>
      </w:r>
    </w:p>
    <w:p w:rsidR="00C22E15" w:rsidRDefault="00C22E15" w:rsidP="00C22E15">
      <w:pPr>
        <w:pStyle w:val="ConsPlusTitle"/>
        <w:jc w:val="center"/>
      </w:pPr>
      <w:r>
        <w:t>РАЗРАБОТКИ И УТВЕРЖДЕНИЯ БЮДЖЕТНОГО ПРОГНОЗА</w:t>
      </w:r>
    </w:p>
    <w:p w:rsidR="00C22E15" w:rsidRDefault="00C22E15" w:rsidP="00C22E15">
      <w:pPr>
        <w:pStyle w:val="ConsPlusTitle"/>
        <w:jc w:val="center"/>
      </w:pPr>
      <w:r>
        <w:t>ЛЕНИНГРАДСКОЙ ОБЛАСТИ НА ДОЛГОСРОЧНЫЙ ПЕРИОД</w:t>
      </w:r>
    </w:p>
    <w:p w:rsidR="00C22E15" w:rsidRDefault="00C22E15" w:rsidP="00C22E1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22E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E15" w:rsidRDefault="00C22E15" w:rsidP="00C22E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E15" w:rsidRDefault="00C22E15" w:rsidP="00C22E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C22E15" w:rsidRDefault="00C22E15" w:rsidP="00C22E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07.03.2019 </w:t>
            </w:r>
            <w:hyperlink r:id="rId1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16.03.2020 </w:t>
            </w:r>
            <w:hyperlink r:id="rId12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13.02.2023 </w:t>
            </w:r>
            <w:hyperlink r:id="rId13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E15" w:rsidRDefault="00C22E15" w:rsidP="00C22E15">
            <w:pPr>
              <w:pStyle w:val="ConsPlusNormal"/>
            </w:pPr>
          </w:p>
        </w:tc>
      </w:tr>
    </w:tbl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ind w:firstLine="540"/>
        <w:jc w:val="both"/>
      </w:pPr>
      <w:r>
        <w:t>1. Бюджетный прогноз Ленинградской области на долгосрочный период (далее - Бюджетный прогноз) утверждается постановлением Правительства Ленинградской области на двенадцатилетний период (начиная с года, следующего за годом разработки).</w:t>
      </w:r>
    </w:p>
    <w:p w:rsidR="00C22E15" w:rsidRDefault="00C22E15" w:rsidP="00C22E15">
      <w:pPr>
        <w:pStyle w:val="ConsPlusNormal"/>
        <w:ind w:firstLine="540"/>
        <w:jc w:val="both"/>
      </w:pPr>
      <w:r>
        <w:t>Бюджетный прогноз разрабатывается и утверждается каждые шесть лет.</w:t>
      </w:r>
    </w:p>
    <w:p w:rsidR="00C22E15" w:rsidRDefault="00C22E15" w:rsidP="00C22E15">
      <w:pPr>
        <w:pStyle w:val="ConsPlusNormal"/>
        <w:ind w:firstLine="540"/>
        <w:jc w:val="both"/>
      </w:pPr>
      <w:r>
        <w:t>Бюджетный прогноз разрабатывается на вариативной основе с учетом прогноза социально-экономического развития Ленинградской области на долгосрочный период и иных показателей социально-экономического развития Ленинградской области на долгосрочный период.</w:t>
      </w:r>
    </w:p>
    <w:p w:rsidR="00C22E15" w:rsidRDefault="00C22E15" w:rsidP="00C22E15">
      <w:pPr>
        <w:pStyle w:val="ConsPlusNormal"/>
        <w:jc w:val="both"/>
      </w:pPr>
      <w:r>
        <w:lastRenderedPageBreak/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07.03.2019 N 94)</w:t>
      </w:r>
    </w:p>
    <w:p w:rsidR="00C22E15" w:rsidRDefault="00C22E15" w:rsidP="00C22E15">
      <w:pPr>
        <w:pStyle w:val="ConsPlusNormal"/>
        <w:ind w:firstLine="540"/>
        <w:jc w:val="both"/>
      </w:pPr>
      <w:r>
        <w:t>2. Разработка проекта Бюджетного прогноза осуществляется Комитетом финансов Ленинградской области на основе прогноза социально-экономического развития Ленинградской области на долгосрочный период.</w:t>
      </w:r>
    </w:p>
    <w:p w:rsidR="00C22E15" w:rsidRDefault="00C22E15" w:rsidP="00C22E15">
      <w:pPr>
        <w:pStyle w:val="ConsPlusNormal"/>
        <w:ind w:firstLine="540"/>
        <w:jc w:val="both"/>
      </w:pPr>
      <w:r>
        <w:t>3. Бюджетный прогноз может быть изменен с учетом изменения прогноза социально-экономического развития Ленинградской области на долгосрочный период и принятого областного закона об областном бюджете Ленинградской области на очередной финансовый год и на плановый период без продления периода его действия.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4.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13.02.2023 N 97.</w:t>
      </w:r>
    </w:p>
    <w:p w:rsidR="00C22E15" w:rsidRDefault="00C22E15" w:rsidP="00C22E15">
      <w:pPr>
        <w:pStyle w:val="ConsPlusNormal"/>
        <w:ind w:firstLine="540"/>
        <w:jc w:val="both"/>
      </w:pPr>
      <w:r>
        <w:t>5. Бюджетный прогноз состоит из текста и приложений.</w:t>
      </w:r>
    </w:p>
    <w:p w:rsidR="00C22E15" w:rsidRDefault="00C22E15" w:rsidP="00C22E15">
      <w:pPr>
        <w:pStyle w:val="ConsPlusNormal"/>
        <w:ind w:firstLine="540"/>
        <w:jc w:val="both"/>
      </w:pPr>
      <w:r>
        <w:t>5.1. Текст Бюджетного прогноза включает следующие основные разделы:</w:t>
      </w:r>
    </w:p>
    <w:p w:rsidR="00C22E15" w:rsidRDefault="00C22E15" w:rsidP="00C22E15">
      <w:pPr>
        <w:pStyle w:val="ConsPlusNormal"/>
        <w:ind w:firstLine="540"/>
        <w:jc w:val="both"/>
      </w:pPr>
      <w:r>
        <w:t>5.1.1. Условия формирования Бюджетного прогноза.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Раздел должен содержать сведения об основных социально-экономических показателях, результаты осуществления налогово-бюджетной и долговой политики, сведения о прогнозируемой макроэкономической ситуации в долгосрочном периоде и ее влиянии на показатели консолидированного и областного бюджетов Ленинградской области, а также основные подходы к формированию бюджетной </w:t>
      </w:r>
      <w:proofErr w:type="gramStart"/>
      <w:r>
        <w:t>политики на</w:t>
      </w:r>
      <w:proofErr w:type="gramEnd"/>
      <w:r>
        <w:t xml:space="preserve"> долгосрочный период.</w:t>
      </w:r>
    </w:p>
    <w:p w:rsidR="00C22E15" w:rsidRDefault="00C22E15" w:rsidP="00C22E15">
      <w:pPr>
        <w:pStyle w:val="ConsPlusNormal"/>
        <w:ind w:firstLine="540"/>
        <w:jc w:val="both"/>
      </w:pPr>
      <w:r>
        <w:t>5.1.2. Прогноз основных параметров консолидированного и областного бюджетов Ленинградской области.</w:t>
      </w:r>
    </w:p>
    <w:p w:rsidR="00C22E15" w:rsidRDefault="00C22E15" w:rsidP="00C22E15">
      <w:pPr>
        <w:pStyle w:val="ConsPlusNormal"/>
        <w:ind w:firstLine="540"/>
        <w:jc w:val="both"/>
      </w:pPr>
      <w:r>
        <w:t>Раздел должен содержать основные подходы к формированию доходов и расходов консолидированного и областного бюджетов Ленинградской области, анализ объемов и структуры доходов, краткое описание прогнозируемой динамики доходов, расходов и дефицита (профицита) консолидированного и областного бюджетов Ленинградской области.</w:t>
      </w:r>
    </w:p>
    <w:p w:rsidR="00C22E15" w:rsidRDefault="00C22E15" w:rsidP="00C22E15">
      <w:pPr>
        <w:pStyle w:val="ConsPlusNormal"/>
        <w:ind w:firstLine="540"/>
        <w:jc w:val="both"/>
      </w:pPr>
      <w:r>
        <w:t>5.1.3. Прогноз основных характеристик консолидированного и областного бюджетов Ленинградской области.</w:t>
      </w:r>
    </w:p>
    <w:p w:rsidR="00C22E15" w:rsidRDefault="00C22E15" w:rsidP="00C22E15">
      <w:pPr>
        <w:pStyle w:val="ConsPlusNormal"/>
        <w:ind w:firstLine="540"/>
        <w:jc w:val="both"/>
      </w:pPr>
      <w:r>
        <w:t>Раздел должен содержать анализ основных характеристик консолидированного и областного бюджетов Ленинградской области: доходов, расходов, профицита (дефицита), объема государственного и муниципального долга Ленинградской области 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:rsidR="00C22E15" w:rsidRDefault="00C22E15" w:rsidP="00C22E15">
      <w:pPr>
        <w:pStyle w:val="ConsPlusNormal"/>
        <w:ind w:firstLine="540"/>
        <w:jc w:val="both"/>
      </w:pPr>
      <w:r>
        <w:t>5.1.4. Показатели финансового обеспечения государственных программ Ленинградской области.</w:t>
      </w:r>
    </w:p>
    <w:p w:rsidR="00C22E15" w:rsidRDefault="00C22E15" w:rsidP="00C22E15">
      <w:pPr>
        <w:pStyle w:val="ConsPlusNormal"/>
        <w:ind w:firstLine="540"/>
        <w:jc w:val="both"/>
      </w:pPr>
      <w:r>
        <w:t>Раздел должен содержать сведения о государственных программах Ленинградской области, краткое описание динамики программных расходов, прогноз объемов финансового обеспечения государственных программ Ленинградской области (на период их действия).</w:t>
      </w:r>
    </w:p>
    <w:p w:rsidR="00C22E15" w:rsidRDefault="00C22E15" w:rsidP="00C22E15">
      <w:pPr>
        <w:pStyle w:val="ConsPlusNormal"/>
        <w:ind w:firstLine="540"/>
        <w:jc w:val="both"/>
      </w:pPr>
      <w:r>
        <w:t>5.2. Приложения (таблицы) к тексту Бюджетного прогноза содержат: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1) утратил силу с 16 марта 2020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16.03.2020 N 122;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2) прогноз основных параметров </w:t>
      </w:r>
      <w:hyperlink w:anchor="P89">
        <w:r>
          <w:rPr>
            <w:color w:val="0000FF"/>
          </w:rPr>
          <w:t>областного</w:t>
        </w:r>
      </w:hyperlink>
      <w:r>
        <w:t xml:space="preserve"> и </w:t>
      </w:r>
      <w:hyperlink w:anchor="P203">
        <w:r>
          <w:rPr>
            <w:color w:val="0000FF"/>
          </w:rPr>
          <w:t>консолидированного бюджетов</w:t>
        </w:r>
      </w:hyperlink>
      <w:r>
        <w:t xml:space="preserve"> Ленинградской области (по формам согласно приложениям 1 и 2 к настоящему Порядку);</w:t>
      </w:r>
    </w:p>
    <w:p w:rsidR="00C22E15" w:rsidRDefault="00C22E15" w:rsidP="00C22E1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16.03.2020 N 122)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3) прогноз основных характеристик </w:t>
      </w:r>
      <w:hyperlink w:anchor="P311">
        <w:r>
          <w:rPr>
            <w:color w:val="0000FF"/>
          </w:rPr>
          <w:t>областного</w:t>
        </w:r>
      </w:hyperlink>
      <w:r>
        <w:t xml:space="preserve"> и </w:t>
      </w:r>
      <w:hyperlink w:anchor="P405">
        <w:r>
          <w:rPr>
            <w:color w:val="0000FF"/>
          </w:rPr>
          <w:t>консолидированного бюджетов</w:t>
        </w:r>
      </w:hyperlink>
      <w:r>
        <w:t xml:space="preserve"> Ленинградской области (по форме согласно приложениям 3 и 4 к настоящему Порядку);</w:t>
      </w:r>
    </w:p>
    <w:p w:rsidR="00C22E15" w:rsidRDefault="00C22E15" w:rsidP="00C22E1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16.03.2020 N 122)</w:t>
      </w:r>
    </w:p>
    <w:p w:rsidR="00C22E15" w:rsidRDefault="00C22E15" w:rsidP="00C22E15">
      <w:pPr>
        <w:pStyle w:val="ConsPlusNormal"/>
        <w:ind w:firstLine="540"/>
        <w:jc w:val="both"/>
      </w:pPr>
      <w:r>
        <w:t xml:space="preserve">4) </w:t>
      </w:r>
      <w:hyperlink w:anchor="P499">
        <w:r>
          <w:rPr>
            <w:color w:val="0000FF"/>
          </w:rPr>
          <w:t>показатели</w:t>
        </w:r>
      </w:hyperlink>
      <w:r>
        <w:t xml:space="preserve"> финансового обеспечения государственных программ Ленинградской области (по форме согласно приложению 5 к настоящему Порядку).</w:t>
      </w:r>
    </w:p>
    <w:p w:rsidR="00C22E15" w:rsidRDefault="00C22E15" w:rsidP="00C22E1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16.03.2020 N 122)</w:t>
      </w:r>
    </w:p>
    <w:p w:rsidR="00C22E15" w:rsidRDefault="00C22E15" w:rsidP="00C22E15">
      <w:pPr>
        <w:pStyle w:val="ConsPlusNormal"/>
        <w:ind w:firstLine="540"/>
        <w:jc w:val="both"/>
      </w:pPr>
      <w:r>
        <w:t>6. Бюджетный прогноз (изменения Бюджетного прогноза) утверждается Правительством Ленинградской области в срок не позднее двух месяцев со дня официального опубликования областного закона об областном бюджете на очередной финансовый год и на плановый период.</w:t>
      </w: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1"/>
      </w:pPr>
      <w:r>
        <w:lastRenderedPageBreak/>
        <w:t>Приложение 1</w:t>
      </w:r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r>
        <w:t>ОСНОВНЫЕ ПОКАЗАТЕЛИ</w:t>
      </w:r>
    </w:p>
    <w:p w:rsidR="00C22E15" w:rsidRDefault="00C22E15" w:rsidP="00C22E15">
      <w:pPr>
        <w:pStyle w:val="ConsPlusNormal"/>
        <w:jc w:val="center"/>
      </w:pPr>
      <w:r>
        <w:t>прогноза социально-экономического развития</w:t>
      </w:r>
    </w:p>
    <w:p w:rsidR="00C22E15" w:rsidRDefault="00C22E15" w:rsidP="00C22E15">
      <w:pPr>
        <w:pStyle w:val="ConsPlusNormal"/>
        <w:jc w:val="center"/>
      </w:pPr>
      <w:r>
        <w:t>Ленинградской области на долгосрочный период</w:t>
      </w: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center"/>
      </w:pPr>
      <w:r>
        <w:t xml:space="preserve">Исключены с 7 марта 2019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C22E15" w:rsidRDefault="00C22E15" w:rsidP="00C22E15">
      <w:pPr>
        <w:pStyle w:val="ConsPlusNormal"/>
        <w:jc w:val="center"/>
      </w:pPr>
      <w:r>
        <w:t>Ленинградской области от 07.03.2019 N 94.</w:t>
      </w: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1"/>
      </w:pPr>
      <w:hyperlink r:id="rId21">
        <w:r>
          <w:rPr>
            <w:color w:val="0000FF"/>
          </w:rPr>
          <w:t>Приложение 1</w:t>
        </w:r>
      </w:hyperlink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bookmarkStart w:id="1" w:name="P89"/>
      <w:bookmarkEnd w:id="1"/>
      <w:r>
        <w:t>ОСНОВНЫЕ ПАРАМЕТРЫ</w:t>
      </w:r>
    </w:p>
    <w:p w:rsidR="00C22E15" w:rsidRDefault="00C22E15" w:rsidP="00C22E15">
      <w:pPr>
        <w:pStyle w:val="ConsPlusNormal"/>
        <w:jc w:val="center"/>
      </w:pPr>
      <w:r>
        <w:t>областного бюджета Ленинградской области</w:t>
      </w:r>
    </w:p>
    <w:p w:rsidR="00C22E15" w:rsidRDefault="00C22E15" w:rsidP="00C22E15">
      <w:pPr>
        <w:pStyle w:val="ConsPlusNormal"/>
        <w:jc w:val="center"/>
      </w:pPr>
      <w:r>
        <w:t>на долгосрочный период</w:t>
      </w:r>
    </w:p>
    <w:p w:rsidR="00C22E15" w:rsidRDefault="00C22E15" w:rsidP="00C22E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850"/>
        <w:gridCol w:w="1020"/>
        <w:gridCol w:w="1020"/>
        <w:gridCol w:w="567"/>
        <w:gridCol w:w="1134"/>
      </w:tblGrid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</w:t>
            </w: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</w:t>
            </w: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n+2</w:t>
            </w: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n+11</w:t>
            </w: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1. Налоговые 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Акцизы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2. Неналоговые 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3. Безвозмездные поступления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В том числе из федерального бюджета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Дотации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Расходы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1. Межбюджетные трансферты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2. Расходы без учета межбюджетных трансфертов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Дефицит/профицит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</w:tbl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1"/>
      </w:pPr>
      <w:hyperlink r:id="rId22">
        <w:r>
          <w:rPr>
            <w:color w:val="0000FF"/>
          </w:rPr>
          <w:t>Приложение 2</w:t>
        </w:r>
      </w:hyperlink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bookmarkStart w:id="2" w:name="P203"/>
      <w:bookmarkEnd w:id="2"/>
      <w:r>
        <w:t>ОСНОВНЫЕ ПАРАМЕТРЫ</w:t>
      </w:r>
    </w:p>
    <w:p w:rsidR="00C22E15" w:rsidRDefault="00C22E15" w:rsidP="00C22E15">
      <w:pPr>
        <w:pStyle w:val="ConsPlusNormal"/>
        <w:jc w:val="center"/>
      </w:pPr>
      <w:r>
        <w:t>консолидированного бюджета Ленинградской области</w:t>
      </w:r>
    </w:p>
    <w:p w:rsidR="00C22E15" w:rsidRDefault="00C22E15" w:rsidP="00C22E15">
      <w:pPr>
        <w:pStyle w:val="ConsPlusNormal"/>
        <w:jc w:val="center"/>
      </w:pPr>
      <w:r>
        <w:t>на долгосрочный период</w:t>
      </w:r>
    </w:p>
    <w:p w:rsidR="00C22E15" w:rsidRDefault="00C22E15" w:rsidP="00C22E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850"/>
        <w:gridCol w:w="1020"/>
        <w:gridCol w:w="1020"/>
        <w:gridCol w:w="567"/>
        <w:gridCol w:w="1134"/>
      </w:tblGrid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</w:t>
            </w: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</w:t>
            </w: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n+2</w:t>
            </w: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n+11</w:t>
            </w: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1. Налоговые 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Акцизы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2. Неналоговые доходы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3. Безвозмездные поступления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В том числе из федерального бюджета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Дотации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Субсидии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Субвенции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Расходы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Дефицит/профицит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4479" w:type="dxa"/>
          </w:tcPr>
          <w:p w:rsidR="00C22E15" w:rsidRDefault="00C22E15" w:rsidP="00C22E15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</w:tbl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1"/>
      </w:pPr>
      <w:hyperlink r:id="rId23">
        <w:r>
          <w:rPr>
            <w:color w:val="0000FF"/>
          </w:rPr>
          <w:t>Приложение 3</w:t>
        </w:r>
      </w:hyperlink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bookmarkStart w:id="3" w:name="P311"/>
      <w:bookmarkEnd w:id="3"/>
      <w:r>
        <w:t>ПРОГНОЗ</w:t>
      </w:r>
    </w:p>
    <w:p w:rsidR="00C22E15" w:rsidRDefault="00C22E15" w:rsidP="00C22E15">
      <w:pPr>
        <w:pStyle w:val="ConsPlusNormal"/>
        <w:jc w:val="center"/>
      </w:pPr>
      <w:r>
        <w:t>основных характеристик областного бюджета</w:t>
      </w:r>
    </w:p>
    <w:p w:rsidR="00C22E15" w:rsidRDefault="00C22E15" w:rsidP="00C22E15">
      <w:pPr>
        <w:pStyle w:val="ConsPlusNormal"/>
        <w:jc w:val="center"/>
      </w:pPr>
      <w:r>
        <w:t>Ленинградской области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right"/>
      </w:pPr>
      <w:r>
        <w:t>(</w:t>
      </w:r>
      <w:proofErr w:type="gramStart"/>
      <w:r>
        <w:t>млрд</w:t>
      </w:r>
      <w:proofErr w:type="gramEnd"/>
      <w:r>
        <w:t xml:space="preserve"> рублей)</w:t>
      </w:r>
    </w:p>
    <w:p w:rsidR="00C22E15" w:rsidRDefault="00C22E15" w:rsidP="00C22E15">
      <w:pPr>
        <w:pStyle w:val="ConsPlusNormal"/>
        <w:sectPr w:rsidR="00C22E15" w:rsidSect="00C22E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91"/>
        <w:gridCol w:w="1077"/>
        <w:gridCol w:w="1304"/>
        <w:gridCol w:w="1304"/>
        <w:gridCol w:w="1304"/>
        <w:gridCol w:w="1134"/>
        <w:gridCol w:w="624"/>
        <w:gridCol w:w="1134"/>
      </w:tblGrid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Очередной год (n)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Первый год планового периода (n+1)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Второй год планового периода (n+2)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n+3</w:t>
            </w: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n+11</w:t>
            </w: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Доходы, всего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Расходы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Дефицит/профицит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Государственный долг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</w:pPr>
          </w:p>
        </w:tc>
      </w:tr>
    </w:tbl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</w:pPr>
    </w:p>
    <w:p w:rsidR="00C22E15" w:rsidRDefault="00C22E15" w:rsidP="00C22E15">
      <w:pPr>
        <w:pStyle w:val="ConsPlusNormal"/>
        <w:jc w:val="right"/>
        <w:outlineLvl w:val="1"/>
        <w:sectPr w:rsidR="00C22E1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22E15" w:rsidRDefault="00C22E15" w:rsidP="00C22E15">
      <w:pPr>
        <w:pStyle w:val="ConsPlusNormal"/>
        <w:jc w:val="right"/>
        <w:outlineLvl w:val="1"/>
      </w:pPr>
      <w:hyperlink r:id="rId24">
        <w:r>
          <w:rPr>
            <w:color w:val="0000FF"/>
          </w:rPr>
          <w:t>Приложение 4</w:t>
        </w:r>
      </w:hyperlink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bookmarkStart w:id="4" w:name="P405"/>
      <w:bookmarkEnd w:id="4"/>
      <w:r>
        <w:t>ПРОГНОЗ</w:t>
      </w:r>
    </w:p>
    <w:p w:rsidR="00C22E15" w:rsidRDefault="00C22E15" w:rsidP="00C22E15">
      <w:pPr>
        <w:pStyle w:val="ConsPlusNormal"/>
        <w:jc w:val="center"/>
      </w:pPr>
      <w:r>
        <w:t>основных характеристик консолидированного бюджета</w:t>
      </w:r>
    </w:p>
    <w:p w:rsidR="00C22E15" w:rsidRDefault="00C22E15" w:rsidP="00C22E15">
      <w:pPr>
        <w:pStyle w:val="ConsPlusNormal"/>
        <w:jc w:val="center"/>
      </w:pPr>
      <w:r>
        <w:t>Ленинградской области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right"/>
      </w:pPr>
      <w:r>
        <w:t>(</w:t>
      </w:r>
      <w:proofErr w:type="gramStart"/>
      <w:r>
        <w:t>млрд</w:t>
      </w:r>
      <w:proofErr w:type="gramEnd"/>
      <w:r>
        <w:t xml:space="preserve"> рублей)</w:t>
      </w:r>
    </w:p>
    <w:p w:rsidR="00C22E15" w:rsidRDefault="00C22E15" w:rsidP="00C22E1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191"/>
        <w:gridCol w:w="1077"/>
        <w:gridCol w:w="1304"/>
        <w:gridCol w:w="1304"/>
        <w:gridCol w:w="1304"/>
        <w:gridCol w:w="1134"/>
        <w:gridCol w:w="624"/>
        <w:gridCol w:w="1134"/>
      </w:tblGrid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Очередной год (n)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Первый год планового периода (n+1)</w:t>
            </w: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Второй год планового периода (n+2)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n+3</w:t>
            </w: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n+11</w:t>
            </w: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Доходы, всего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Расходы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Дефицит/профицит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r>
              <w:t>Государственный и муниципальный долг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2494" w:type="dxa"/>
          </w:tcPr>
          <w:p w:rsidR="00C22E15" w:rsidRDefault="00C22E15" w:rsidP="00C22E15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% к ВРП</w:t>
            </w:r>
          </w:p>
        </w:tc>
        <w:tc>
          <w:tcPr>
            <w:tcW w:w="1191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</w:tbl>
    <w:p w:rsidR="00C22E15" w:rsidRDefault="00C22E15" w:rsidP="00C22E15">
      <w:pPr>
        <w:pStyle w:val="ConsPlusNormal"/>
        <w:sectPr w:rsidR="00C22E15" w:rsidSect="00C22E15">
          <w:pgSz w:w="16838" w:h="11905" w:orient="landscape"/>
          <w:pgMar w:top="1134" w:right="567" w:bottom="1134" w:left="1134" w:header="0" w:footer="0" w:gutter="0"/>
          <w:cols w:space="720"/>
          <w:titlePg/>
        </w:sectPr>
      </w:pPr>
    </w:p>
    <w:p w:rsidR="00C22E15" w:rsidRDefault="00C22E15" w:rsidP="00C22E15">
      <w:pPr>
        <w:pStyle w:val="ConsPlusNormal"/>
        <w:jc w:val="right"/>
        <w:outlineLvl w:val="1"/>
      </w:pPr>
      <w:hyperlink r:id="rId25">
        <w:r>
          <w:rPr>
            <w:color w:val="0000FF"/>
          </w:rPr>
          <w:t>Приложение 5</w:t>
        </w:r>
      </w:hyperlink>
    </w:p>
    <w:p w:rsidR="00C22E15" w:rsidRDefault="00C22E15" w:rsidP="00C22E15">
      <w:pPr>
        <w:pStyle w:val="ConsPlusNormal"/>
        <w:jc w:val="right"/>
      </w:pPr>
      <w:r>
        <w:t>к Порядку...</w:t>
      </w:r>
    </w:p>
    <w:p w:rsidR="00C22E15" w:rsidRDefault="00C22E15" w:rsidP="00C22E15">
      <w:pPr>
        <w:pStyle w:val="ConsPlusNormal"/>
        <w:ind w:firstLine="540"/>
        <w:jc w:val="both"/>
      </w:pPr>
    </w:p>
    <w:p w:rsidR="00C22E15" w:rsidRDefault="00C22E15" w:rsidP="00C22E15">
      <w:pPr>
        <w:pStyle w:val="ConsPlusNormal"/>
        <w:jc w:val="center"/>
      </w:pPr>
      <w:bookmarkStart w:id="5" w:name="P499"/>
      <w:bookmarkEnd w:id="5"/>
      <w:r>
        <w:t>ПОКАЗАТЕЛИ</w:t>
      </w:r>
    </w:p>
    <w:p w:rsidR="00C22E15" w:rsidRDefault="00C22E15" w:rsidP="00C22E15">
      <w:pPr>
        <w:pStyle w:val="ConsPlusNormal"/>
        <w:jc w:val="center"/>
      </w:pPr>
      <w:r>
        <w:t>финансового обеспечения государственных программ</w:t>
      </w:r>
    </w:p>
    <w:p w:rsidR="00C22E15" w:rsidRDefault="00C22E15" w:rsidP="00C22E15">
      <w:pPr>
        <w:pStyle w:val="ConsPlusNormal"/>
        <w:jc w:val="center"/>
      </w:pPr>
      <w:r>
        <w:t>Ленинградской области</w:t>
      </w:r>
    </w:p>
    <w:p w:rsidR="00C22E15" w:rsidRDefault="00C22E15" w:rsidP="00C22E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36"/>
        <w:gridCol w:w="782"/>
        <w:gridCol w:w="964"/>
        <w:gridCol w:w="964"/>
        <w:gridCol w:w="454"/>
        <w:gridCol w:w="1077"/>
      </w:tblGrid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</w:t>
            </w: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</w:t>
            </w: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n+2</w:t>
            </w: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  <w:r>
              <w:t>Год n+11</w:t>
            </w: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Расходы, всего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1. Программные расходы, всего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Удельный вес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1.1. Государственная программа 1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1.2. Государственная программа 2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1.3. Государственная программа...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2. Непрограммные расходы, всего</w:t>
            </w:r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  <w:tr w:rsidR="00C22E15">
        <w:tc>
          <w:tcPr>
            <w:tcW w:w="3798" w:type="dxa"/>
          </w:tcPr>
          <w:p w:rsidR="00C22E15" w:rsidRDefault="00C22E15" w:rsidP="00C22E15">
            <w:pPr>
              <w:pStyle w:val="ConsPlusNormal"/>
            </w:pPr>
            <w:r>
              <w:t>Удельный вес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36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782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22E15" w:rsidRDefault="00C22E15" w:rsidP="00C22E15">
            <w:pPr>
              <w:pStyle w:val="ConsPlusNormal"/>
              <w:jc w:val="center"/>
            </w:pPr>
          </w:p>
        </w:tc>
      </w:tr>
    </w:tbl>
    <w:p w:rsidR="004D0D4B" w:rsidRDefault="004D0D4B" w:rsidP="00C22E15">
      <w:pPr>
        <w:pStyle w:val="ConsPlusNormal"/>
      </w:pPr>
      <w:bookmarkStart w:id="6" w:name="_GoBack"/>
      <w:bookmarkEnd w:id="6"/>
    </w:p>
    <w:sectPr w:rsidR="004D0D4B" w:rsidSect="00C22E15">
      <w:pgSz w:w="11905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5"/>
    <w:rsid w:val="004D0D4B"/>
    <w:rsid w:val="00C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2E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2E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9397&amp;dst=100004" TargetMode="External"/><Relationship Id="rId13" Type="http://schemas.openxmlformats.org/officeDocument/2006/relationships/hyperlink" Target="https://login.consultant.ru/link/?req=doc&amp;base=SPB&amp;n=269397&amp;dst=100004" TargetMode="External"/><Relationship Id="rId18" Type="http://schemas.openxmlformats.org/officeDocument/2006/relationships/hyperlink" Target="https://login.consultant.ru/link/?req=doc&amp;base=SPB&amp;n=223812&amp;dst=1000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23812&amp;dst=100011" TargetMode="External"/><Relationship Id="rId7" Type="http://schemas.openxmlformats.org/officeDocument/2006/relationships/hyperlink" Target="https://login.consultant.ru/link/?req=doc&amp;base=SPB&amp;n=223812&amp;dst=100005" TargetMode="External"/><Relationship Id="rId12" Type="http://schemas.openxmlformats.org/officeDocument/2006/relationships/hyperlink" Target="https://login.consultant.ru/link/?req=doc&amp;base=SPB&amp;n=223812&amp;dst=100005" TargetMode="External"/><Relationship Id="rId17" Type="http://schemas.openxmlformats.org/officeDocument/2006/relationships/hyperlink" Target="https://login.consultant.ru/link/?req=doc&amp;base=SPB&amp;n=223812&amp;dst=100008" TargetMode="External"/><Relationship Id="rId25" Type="http://schemas.openxmlformats.org/officeDocument/2006/relationships/hyperlink" Target="https://login.consultant.ru/link/?req=doc&amp;base=SPB&amp;n=223812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3812&amp;dst=100007" TargetMode="External"/><Relationship Id="rId20" Type="http://schemas.openxmlformats.org/officeDocument/2006/relationships/hyperlink" Target="https://login.consultant.ru/link/?req=doc&amp;base=SPB&amp;n=210105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0105&amp;dst=100005" TargetMode="External"/><Relationship Id="rId11" Type="http://schemas.openxmlformats.org/officeDocument/2006/relationships/hyperlink" Target="https://login.consultant.ru/link/?req=doc&amp;base=SPB&amp;n=210105&amp;dst=100005" TargetMode="External"/><Relationship Id="rId24" Type="http://schemas.openxmlformats.org/officeDocument/2006/relationships/hyperlink" Target="https://login.consultant.ru/link/?req=doc&amp;base=SPB&amp;n=223812&amp;dst=100011" TargetMode="External"/><Relationship Id="rId5" Type="http://schemas.openxmlformats.org/officeDocument/2006/relationships/hyperlink" Target="https://login.consultant.ru/link/?req=doc&amp;base=SPB&amp;n=268170&amp;dst=100026" TargetMode="External"/><Relationship Id="rId15" Type="http://schemas.openxmlformats.org/officeDocument/2006/relationships/hyperlink" Target="https://login.consultant.ru/link/?req=doc&amp;base=SPB&amp;n=269397&amp;dst=100004" TargetMode="External"/><Relationship Id="rId23" Type="http://schemas.openxmlformats.org/officeDocument/2006/relationships/hyperlink" Target="https://login.consultant.ru/link/?req=doc&amp;base=SPB&amp;n=223812&amp;dst=100011" TargetMode="External"/><Relationship Id="rId10" Type="http://schemas.openxmlformats.org/officeDocument/2006/relationships/hyperlink" Target="https://login.consultant.ru/link/?req=doc&amp;base=SPB&amp;n=268170&amp;dst=100026" TargetMode="External"/><Relationship Id="rId19" Type="http://schemas.openxmlformats.org/officeDocument/2006/relationships/hyperlink" Target="https://login.consultant.ru/link/?req=doc&amp;base=SPB&amp;n=223812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832" TargetMode="External"/><Relationship Id="rId14" Type="http://schemas.openxmlformats.org/officeDocument/2006/relationships/hyperlink" Target="https://login.consultant.ru/link/?req=doc&amp;base=SPB&amp;n=210105&amp;dst=100006" TargetMode="External"/><Relationship Id="rId22" Type="http://schemas.openxmlformats.org/officeDocument/2006/relationships/hyperlink" Target="https://login.consultant.ru/link/?req=doc&amp;base=SPB&amp;n=223812&amp;dst=1000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Рузанна Левоновна</dc:creator>
  <cp:lastModifiedBy>Старостина Рузанна Левоновна</cp:lastModifiedBy>
  <cp:revision>1</cp:revision>
  <dcterms:created xsi:type="dcterms:W3CDTF">2024-09-20T13:45:00Z</dcterms:created>
  <dcterms:modified xsi:type="dcterms:W3CDTF">2024-09-20T13:46:00Z</dcterms:modified>
</cp:coreProperties>
</file>