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C82" w:rsidRDefault="004C74DE">
      <w:pPr>
        <w:spacing w:line="276" w:lineRule="auto"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ПОЯСНИТЕЛЬНАЯ ЗАПИСКА</w:t>
      </w:r>
    </w:p>
    <w:p w:rsidR="00DA6C82" w:rsidRDefault="004C74DE">
      <w:pPr>
        <w:pStyle w:val="ConsPlusTitle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проекту постановления Правительства Ленинградской области </w:t>
      </w:r>
      <w:r>
        <w:rPr>
          <w:rFonts w:eastAsiaTheme="minorHAnsi"/>
          <w:sz w:val="28"/>
          <w:szCs w:val="28"/>
          <w:lang w:eastAsia="en-US"/>
        </w:rPr>
        <w:br/>
        <w:t>«О внесении изменения в постановление Правительства Ленинградской области от 30 сентября 2021 года № 630 «Об утверждении Положения о региональном государственном контроле (надзоре) в сфере перевозок пассажиров и багажа легковым такси на территории Ленинградской области, перечня индикаторов риска нарушения обязательных требований в сфере перевозок пассажиров и багажа легковым такси на территории Ленинградской области, ключевых показателей и их целевых значений, индикативных показателей регионального государственного контроля (надзора) в сфере перевозок пассажиров и багажа легковым такси на территории Ленинградской области»</w:t>
      </w:r>
    </w:p>
    <w:p w:rsidR="00DA6C82" w:rsidRDefault="00DA6C82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A6C82" w:rsidRDefault="004C74D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Целью принятия проекта постановления Правительства Ленинградской области «О внесении изменения в постановление Правительства Ленинградской области от 30 сентября 2021 года № 630 «Об утверждении Положения о региональном государственном контроле (надзоре) в сфере перевозок пассажиров и багажа легковым такси на территории Ленинградской области, перечня индикаторов риска нарушения обязательных требований в сфере перевозок пассажиров и багажа легковым такси на территории Ленинградской области, ключевых показателей и их целевых значений, индикативных показателей регионального государственного контроля (надзора) в сфере перевозок пассажиров и багажа легковым такси на территории Ленинградской области» (далее – Проект) является приведение нормативных правовых актов Ленинградской области в соответствие с законодательством Российской Федерации.</w:t>
      </w:r>
    </w:p>
    <w:p w:rsidR="00DA6C82" w:rsidRDefault="004C74D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Федеральный закон от 28.12.2024 № 540-ФЗ «О внесении изменений в Федеральный закон «О государственном контроле (надзоре) и муниципальном контроле в Российской Федерации» вступил в силу и официально опубликован 28.12.2024 г.</w:t>
      </w:r>
    </w:p>
    <w:p w:rsidR="00DA6C82" w:rsidRDefault="004C74D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основании изложенного Проектом предлагается привести в соответствие, дополнить или изложить в новой редакции подпункт 1 пункта 17, подпункт 2 пункта 17, пункт 25, пункт 32, пункт 32.1, пункт 32.2, пункт 32.3, пункт 39, абзац 7 пункта 40, пункт 41, пункт 42, подпункт 1 пункта 46.5, подпункт 2 пункта 46.5, пункт 46.5, подпункт 6 пункта 46.9, пункт 46.9, пункт 46.14, пункт 46.14.1 постановления Правительства Ленинградской области от 30 сентября 2021 года № 630 «Об утверждении Положения о региональном государственном контроле (надзоре) в сфере перевозок пассажиров и багажа легковым такси на территории Ленинградской области, перечня индикаторов риска нарушения обязательных требований в сфере перевозок пассажиров и багажа легковым такси на территории Ленинградской области, ключевых показателей и их целевых значений, индикативных показателей регионального государственного контроля (надзора) в сфере перевозок пассажиров и багажа легковым такси на территории Ленинградской области».</w:t>
      </w:r>
    </w:p>
    <w:p w:rsidR="00DA6C82" w:rsidRDefault="004C74DE">
      <w:pPr>
        <w:ind w:firstLine="567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связи с появлением новых субъектов контроля в сфере перевозок пассажиров и багажа легковым такси, в виде физических лиц осуществляющих перечисление налога на профессиональный доход, с целью </w:t>
      </w:r>
      <w:r>
        <w:rPr>
          <w:rFonts w:eastAsiaTheme="minorHAnsi"/>
          <w:sz w:val="28"/>
          <w:szCs w:val="28"/>
          <w:lang w:eastAsia="en-US"/>
        </w:rPr>
        <w:lastRenderedPageBreak/>
        <w:t>снижения категории риска для указанных лиц предлагается повысить количество проходных баллов для отнесения к  более низкой группе риска.</w:t>
      </w:r>
      <w:r>
        <w:rPr>
          <w:rFonts w:eastAsiaTheme="minorHAnsi"/>
          <w:color w:val="FF0000"/>
          <w:sz w:val="28"/>
          <w:szCs w:val="28"/>
          <w:lang w:eastAsia="en-US"/>
        </w:rPr>
        <w:t xml:space="preserve">  </w:t>
      </w:r>
    </w:p>
    <w:p w:rsidR="00DA6C82" w:rsidRDefault="004C74D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Скорректированы сроки проведения плановых контрольных (надзорных) мероприятий, приведены в соответствие со статьей 25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A6C82" w:rsidRDefault="004C74D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Внесены изменения в части поведения профилактического визита, приведены в соответствие со статьями 52, 52.1, 52.2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A6C82" w:rsidRDefault="004C74D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Внесены изменения в части оснований для проведения контрольной закупки, инспекционного визита, документарной проверки, выездной проверки, приведены в соответствие со статьей 57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A6C82" w:rsidRDefault="004C74DE">
      <w:pPr>
        <w:ind w:firstLine="567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Внесены изменения в части обжалования контролируемым лицом,</w:t>
      </w:r>
      <w:r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приведены в соответствие со статьей 40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A6C82" w:rsidRDefault="004C74DE">
      <w:pPr>
        <w:ind w:firstLine="567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Скорректировано содержание жалобы в соответствии со статьей 41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A6C82" w:rsidRDefault="004C74DE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Изменены сроки рассмотрения жалоб в соответствие с пунктами 2, 2.1 статьи 43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A6C82" w:rsidRDefault="004C74DE">
      <w:pPr>
        <w:ind w:firstLine="709"/>
        <w:jc w:val="both"/>
      </w:pPr>
      <w:r>
        <w:rPr>
          <w:sz w:val="28"/>
          <w:szCs w:val="28"/>
        </w:rPr>
        <w:t>В пункте 24 Положения Комитет предлагает исключить из перечня плановых контрольных (надзорных) мероприятий наблюдение за соблюдением обязательных требований (мониторинг безопасности) и выездное обследование ввиду отсутствия обязанности контрольного (надзорного) органа согласовывать с органами прокуратуры решения о проведении контрольных (надзорных) мероприятий без взаимодействия с контролируемыми лицами.</w:t>
      </w:r>
    </w:p>
    <w:p w:rsidR="00DA6C82" w:rsidRDefault="004C74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Вносимые Проектом изменения не потребуют проведения процедуры оценки регулирующего воздействия нормативно-правового акта, поскольку вносятся с целью приведения регионального законодательства в соответствие в изменениями, внесёнными в федеральное законодательство, а также не соответствуют критериям, предусмотренным частью 1 статьи 2 Областного закона Ленинградской области от 16.02.2015 № 5-оз «О проведении оценки регулирующего воздействия проектов нормативных правовых актов Ленинградской области и экспертизы нормативных правовых актов Ленинградской области».</w:t>
      </w:r>
    </w:p>
    <w:p w:rsidR="00DA6C82" w:rsidRDefault="00DA6C82">
      <w:pPr>
        <w:jc w:val="both"/>
        <w:rPr>
          <w:rFonts w:eastAsiaTheme="minorHAnsi"/>
          <w:sz w:val="28"/>
          <w:szCs w:val="28"/>
          <w:lang w:eastAsia="en-US"/>
        </w:rPr>
      </w:pPr>
    </w:p>
    <w:p w:rsidR="00DA6C82" w:rsidRDefault="00DA6C82">
      <w:pPr>
        <w:jc w:val="both"/>
        <w:rPr>
          <w:rFonts w:eastAsiaTheme="minorHAnsi"/>
          <w:sz w:val="28"/>
          <w:szCs w:val="28"/>
          <w:lang w:eastAsia="en-US"/>
        </w:rPr>
      </w:pPr>
    </w:p>
    <w:p w:rsidR="00DA6C82" w:rsidRDefault="004C74DE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 Комитета</w:t>
      </w:r>
    </w:p>
    <w:p w:rsidR="00DA6C82" w:rsidRDefault="004C74DE">
      <w:pPr>
        <w:widowControl w:val="0"/>
        <w:spacing w:after="20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Ленинградской области по транспорту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    </w:t>
      </w:r>
      <w:r w:rsidR="00414B54">
        <w:rPr>
          <w:rFonts w:eastAsiaTheme="minorHAnsi"/>
          <w:sz w:val="28"/>
          <w:szCs w:val="28"/>
          <w:lang w:eastAsia="en-US"/>
        </w:rPr>
        <w:t xml:space="preserve">  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      М.С. Присяжнюк</w:t>
      </w:r>
    </w:p>
    <w:p w:rsidR="00DA6C82" w:rsidRDefault="004C74DE">
      <w:pPr>
        <w:spacing w:after="200" w:line="276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br w:type="page" w:clear="all"/>
      </w:r>
    </w:p>
    <w:p w:rsidR="00DA6C82" w:rsidRDefault="00DA6C82">
      <w:pPr>
        <w:spacing w:after="200" w:line="276" w:lineRule="auto"/>
        <w:rPr>
          <w:rFonts w:eastAsia="Times New Roman"/>
          <w:b/>
          <w:sz w:val="28"/>
          <w:szCs w:val="28"/>
        </w:rPr>
      </w:pPr>
    </w:p>
    <w:p w:rsidR="00DA6C82" w:rsidRDefault="004C74DE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sz w:val="28"/>
          <w:szCs w:val="28"/>
        </w:rPr>
        <w:t>ТЕХНИКО-ЭКОНОМИЧЕСКОЕ ОБОСНОВАНИЕ</w:t>
      </w:r>
    </w:p>
    <w:p w:rsidR="00DA6C82" w:rsidRDefault="004C74DE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к проекту постановления Правительства Ленинградской области                                 «О внесении изменения в постановление Правительства Ленинградской области от 30 сентября 2021 года № 630 «Об утверждении Положения о региональном государственном контроле (надзоре) в сфере перевозок пассажиров и багажа легковым такси на территории Ленинградской области, перечня индикаторов риска нарушения обязательных требований в сфере перевозок пассажиров и багажа легковым такси на территории Ленинградской области, ключевых показателей и их целевых значений, индикативных показателей регионального государственного контроля (надзора) в сфере перевозок пассажиров и багажа легковым такси на территории Ленинградской области»</w:t>
      </w:r>
    </w:p>
    <w:p w:rsidR="00DA6C82" w:rsidRDefault="00DA6C82">
      <w:pPr>
        <w:jc w:val="center"/>
        <w:rPr>
          <w:rFonts w:eastAsia="Times New Roman"/>
          <w:sz w:val="28"/>
          <w:szCs w:val="28"/>
        </w:rPr>
      </w:pPr>
    </w:p>
    <w:p w:rsidR="00DA6C82" w:rsidRDefault="004C74DE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>Принятие проекта постановления Правительства Ленинградской области «О внесении изменений в постановление Правительства Ленинградской области от 30 сентября 2021 года № 630 «Об утверждении Положения о региональном государственном контроле (надзоре) в сфере перевозок пассажиров и багажа легковым такси на территории Ленинградской области, перечня индикаторов риска нарушения обязательных требований в сфере перевозок пассажиров и багажа легковым такси на территории Ленинградской области, ключевых показателей и их целевых значений, индикативных показателей регионального государственного контроля (надзора) в сфере перевозок пассажиров и багажа легковым такси на территории Ленинградской области» не потребует выделения дополнительных средств из областного бюджета.</w:t>
      </w:r>
    </w:p>
    <w:p w:rsidR="00DA6C82" w:rsidRDefault="00DA6C82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DA6C82" w:rsidRDefault="004C74DE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</w:t>
      </w:r>
    </w:p>
    <w:p w:rsidR="00DA6C82" w:rsidRDefault="00DA6C82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DA6C82" w:rsidRDefault="004C74DE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 Комитета</w:t>
      </w:r>
    </w:p>
    <w:p w:rsidR="00DA6C82" w:rsidRDefault="004C74DE">
      <w:pPr>
        <w:widowControl w:val="0"/>
        <w:spacing w:after="20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Ленинградской области по транспорту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 xml:space="preserve">                 </w:t>
      </w:r>
      <w:r w:rsidR="00414B54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 М.С. Присяжнюк</w:t>
      </w:r>
    </w:p>
    <w:p w:rsidR="00DA6C82" w:rsidRDefault="00DA6C82">
      <w:pPr>
        <w:widowControl w:val="0"/>
        <w:spacing w:after="200"/>
        <w:rPr>
          <w:rFonts w:eastAsiaTheme="minorHAnsi"/>
          <w:sz w:val="28"/>
          <w:szCs w:val="28"/>
          <w:lang w:eastAsia="en-US"/>
        </w:rPr>
      </w:pPr>
    </w:p>
    <w:p w:rsidR="00DA6C82" w:rsidRDefault="00DA6C82">
      <w:pPr>
        <w:widowControl w:val="0"/>
        <w:spacing w:after="200"/>
        <w:rPr>
          <w:rFonts w:eastAsiaTheme="minorHAnsi"/>
          <w:sz w:val="28"/>
          <w:szCs w:val="28"/>
          <w:lang w:eastAsia="en-US"/>
        </w:rPr>
      </w:pPr>
    </w:p>
    <w:p w:rsidR="00DA6C82" w:rsidRDefault="00DA6C82">
      <w:pPr>
        <w:widowControl w:val="0"/>
        <w:spacing w:after="200"/>
        <w:rPr>
          <w:rFonts w:eastAsiaTheme="minorHAnsi"/>
          <w:sz w:val="28"/>
          <w:szCs w:val="28"/>
          <w:lang w:eastAsia="en-US"/>
        </w:rPr>
      </w:pPr>
    </w:p>
    <w:p w:rsidR="00DA6C82" w:rsidRDefault="00DA6C82">
      <w:pPr>
        <w:widowControl w:val="0"/>
        <w:spacing w:after="200"/>
        <w:rPr>
          <w:rFonts w:eastAsiaTheme="minorHAnsi"/>
          <w:sz w:val="28"/>
          <w:szCs w:val="28"/>
          <w:lang w:eastAsia="en-US"/>
        </w:rPr>
      </w:pPr>
    </w:p>
    <w:p w:rsidR="00DA6C82" w:rsidRDefault="00DA6C82">
      <w:pPr>
        <w:widowControl w:val="0"/>
        <w:spacing w:after="200"/>
        <w:rPr>
          <w:rFonts w:eastAsiaTheme="minorHAnsi"/>
          <w:sz w:val="28"/>
          <w:szCs w:val="28"/>
          <w:lang w:eastAsia="en-US"/>
        </w:rPr>
      </w:pPr>
    </w:p>
    <w:p w:rsidR="00DA6C82" w:rsidRDefault="00DA6C82">
      <w:pPr>
        <w:widowControl w:val="0"/>
        <w:spacing w:after="200"/>
        <w:rPr>
          <w:rFonts w:eastAsiaTheme="minorHAnsi"/>
          <w:sz w:val="28"/>
          <w:szCs w:val="28"/>
          <w:lang w:eastAsia="en-US"/>
        </w:rPr>
      </w:pPr>
    </w:p>
    <w:p w:rsidR="00DA6C82" w:rsidRDefault="00DA6C82">
      <w:pPr>
        <w:widowControl w:val="0"/>
        <w:spacing w:after="200"/>
        <w:rPr>
          <w:rFonts w:eastAsiaTheme="minorHAnsi"/>
          <w:sz w:val="28"/>
          <w:szCs w:val="28"/>
          <w:lang w:eastAsia="en-US"/>
        </w:rPr>
      </w:pPr>
    </w:p>
    <w:p w:rsidR="00DA6C82" w:rsidRDefault="00DA6C82">
      <w:pPr>
        <w:widowControl w:val="0"/>
        <w:spacing w:after="200"/>
        <w:rPr>
          <w:rFonts w:eastAsiaTheme="minorHAnsi"/>
          <w:sz w:val="28"/>
          <w:szCs w:val="28"/>
          <w:lang w:eastAsia="en-US"/>
        </w:rPr>
      </w:pPr>
    </w:p>
    <w:sectPr w:rsidR="00DA6C8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B03" w:rsidRDefault="00293B03">
      <w:r>
        <w:separator/>
      </w:r>
    </w:p>
  </w:endnote>
  <w:endnote w:type="continuationSeparator" w:id="0">
    <w:p w:rsidR="00293B03" w:rsidRDefault="0029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B03" w:rsidRDefault="00293B03">
      <w:r>
        <w:separator/>
      </w:r>
    </w:p>
  </w:footnote>
  <w:footnote w:type="continuationSeparator" w:id="0">
    <w:p w:rsidR="00293B03" w:rsidRDefault="00293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42C70"/>
    <w:multiLevelType w:val="hybridMultilevel"/>
    <w:tmpl w:val="26AABC8E"/>
    <w:lvl w:ilvl="0" w:tplc="33A80642">
      <w:start w:val="2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6AF4A842">
      <w:start w:val="1"/>
      <w:numFmt w:val="lowerLetter"/>
      <w:lvlText w:val="%2."/>
      <w:lvlJc w:val="left"/>
      <w:pPr>
        <w:ind w:left="3348" w:hanging="360"/>
      </w:pPr>
    </w:lvl>
    <w:lvl w:ilvl="2" w:tplc="81AAEF54">
      <w:start w:val="1"/>
      <w:numFmt w:val="lowerRoman"/>
      <w:lvlText w:val="%3."/>
      <w:lvlJc w:val="right"/>
      <w:pPr>
        <w:ind w:left="4068" w:hanging="180"/>
      </w:pPr>
    </w:lvl>
    <w:lvl w:ilvl="3" w:tplc="2D28BC56">
      <w:start w:val="1"/>
      <w:numFmt w:val="decimal"/>
      <w:lvlText w:val="%4."/>
      <w:lvlJc w:val="left"/>
      <w:pPr>
        <w:ind w:left="4788" w:hanging="360"/>
      </w:pPr>
    </w:lvl>
    <w:lvl w:ilvl="4" w:tplc="D4FC6552">
      <w:start w:val="1"/>
      <w:numFmt w:val="lowerLetter"/>
      <w:lvlText w:val="%5."/>
      <w:lvlJc w:val="left"/>
      <w:pPr>
        <w:ind w:left="5508" w:hanging="360"/>
      </w:pPr>
    </w:lvl>
    <w:lvl w:ilvl="5" w:tplc="6542EFAA">
      <w:start w:val="1"/>
      <w:numFmt w:val="lowerRoman"/>
      <w:lvlText w:val="%6."/>
      <w:lvlJc w:val="right"/>
      <w:pPr>
        <w:ind w:left="6228" w:hanging="180"/>
      </w:pPr>
    </w:lvl>
    <w:lvl w:ilvl="6" w:tplc="D4CC4D5C">
      <w:start w:val="1"/>
      <w:numFmt w:val="decimal"/>
      <w:lvlText w:val="%7."/>
      <w:lvlJc w:val="left"/>
      <w:pPr>
        <w:ind w:left="6948" w:hanging="360"/>
      </w:pPr>
    </w:lvl>
    <w:lvl w:ilvl="7" w:tplc="394093DA">
      <w:start w:val="1"/>
      <w:numFmt w:val="lowerLetter"/>
      <w:lvlText w:val="%8."/>
      <w:lvlJc w:val="left"/>
      <w:pPr>
        <w:ind w:left="7668" w:hanging="360"/>
      </w:pPr>
    </w:lvl>
    <w:lvl w:ilvl="8" w:tplc="B94AD5B6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2974745B"/>
    <w:multiLevelType w:val="hybridMultilevel"/>
    <w:tmpl w:val="1310A646"/>
    <w:lvl w:ilvl="0" w:tplc="5D7496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12CC86E">
      <w:start w:val="1"/>
      <w:numFmt w:val="lowerLetter"/>
      <w:lvlText w:val="%2."/>
      <w:lvlJc w:val="left"/>
      <w:pPr>
        <w:ind w:left="1647" w:hanging="360"/>
      </w:pPr>
    </w:lvl>
    <w:lvl w:ilvl="2" w:tplc="D55846A0">
      <w:start w:val="1"/>
      <w:numFmt w:val="lowerRoman"/>
      <w:lvlText w:val="%3."/>
      <w:lvlJc w:val="right"/>
      <w:pPr>
        <w:ind w:left="2367" w:hanging="180"/>
      </w:pPr>
    </w:lvl>
    <w:lvl w:ilvl="3" w:tplc="D108C0FA">
      <w:start w:val="1"/>
      <w:numFmt w:val="decimal"/>
      <w:lvlText w:val="%4."/>
      <w:lvlJc w:val="left"/>
      <w:pPr>
        <w:ind w:left="3087" w:hanging="360"/>
      </w:pPr>
    </w:lvl>
    <w:lvl w:ilvl="4" w:tplc="B490AEC8">
      <w:start w:val="1"/>
      <w:numFmt w:val="lowerLetter"/>
      <w:lvlText w:val="%5."/>
      <w:lvlJc w:val="left"/>
      <w:pPr>
        <w:ind w:left="3807" w:hanging="360"/>
      </w:pPr>
    </w:lvl>
    <w:lvl w:ilvl="5" w:tplc="AF68A070">
      <w:start w:val="1"/>
      <w:numFmt w:val="lowerRoman"/>
      <w:lvlText w:val="%6."/>
      <w:lvlJc w:val="right"/>
      <w:pPr>
        <w:ind w:left="4527" w:hanging="180"/>
      </w:pPr>
    </w:lvl>
    <w:lvl w:ilvl="6" w:tplc="4EF47900">
      <w:start w:val="1"/>
      <w:numFmt w:val="decimal"/>
      <w:lvlText w:val="%7."/>
      <w:lvlJc w:val="left"/>
      <w:pPr>
        <w:ind w:left="5247" w:hanging="360"/>
      </w:pPr>
    </w:lvl>
    <w:lvl w:ilvl="7" w:tplc="703E7F8C">
      <w:start w:val="1"/>
      <w:numFmt w:val="lowerLetter"/>
      <w:lvlText w:val="%8."/>
      <w:lvlJc w:val="left"/>
      <w:pPr>
        <w:ind w:left="5967" w:hanging="360"/>
      </w:pPr>
    </w:lvl>
    <w:lvl w:ilvl="8" w:tplc="861ED484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C82"/>
    <w:rsid w:val="001B5F3D"/>
    <w:rsid w:val="00293B03"/>
    <w:rsid w:val="00414B54"/>
    <w:rsid w:val="004C74DE"/>
    <w:rsid w:val="00DA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F55B7-EA65-4D59-A224-5C04A127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0">
    <w:name w:val="ConsPlusNormal"/>
    <w:link w:val="ConsPlus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Placeholder Text"/>
    <w:basedOn w:val="a0"/>
    <w:uiPriority w:val="99"/>
    <w:semiHidden/>
    <w:rPr>
      <w:color w:val="808080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Calibri" w:hAnsi="Tahoma" w:cs="Tahoma"/>
      <w:sz w:val="16"/>
      <w:szCs w:val="16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"/>
    <w:link w:val="aff"/>
    <w:rPr>
      <w:rFonts w:eastAsia="Times New Roman"/>
      <w:sz w:val="20"/>
      <w:szCs w:val="20"/>
    </w:rPr>
  </w:style>
  <w:style w:type="character" w:customStyle="1" w:styleId="aff">
    <w:name w:val="Текст примечания Знак"/>
    <w:basedOn w:val="a0"/>
    <w:link w:val="a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C11CB-AFAF-45AF-829A-6A7F2AC6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6188</Characters>
  <Application>Microsoft Office Word</Application>
  <DocSecurity>0</DocSecurity>
  <Lines>51</Lines>
  <Paragraphs>14</Paragraphs>
  <ScaleCrop>false</ScaleCrop>
  <Company/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Пугачева</dc:creator>
  <cp:lastModifiedBy>Аникеев Олег Владимирович</cp:lastModifiedBy>
  <cp:revision>2</cp:revision>
  <dcterms:created xsi:type="dcterms:W3CDTF">2025-10-14T06:59:00Z</dcterms:created>
  <dcterms:modified xsi:type="dcterms:W3CDTF">2025-10-14T06:59:00Z</dcterms:modified>
</cp:coreProperties>
</file>