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firstLine="510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7"/>
        <w:ind w:firstLine="510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/>
          <w:sz w:val="28"/>
          <w:szCs w:val="28"/>
        </w:rPr>
      </w:r>
    </w:p>
    <w:p>
      <w:pPr>
        <w:pStyle w:val="637"/>
        <w:ind w:firstLine="510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637"/>
        <w:ind w:firstLine="510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 202_ года № ___</w:t>
      </w:r>
      <w:r>
        <w:rPr>
          <w:rFonts w:ascii="Times New Roman" w:hAnsi="Times New Roman"/>
          <w:sz w:val="28"/>
          <w:szCs w:val="28"/>
        </w:rPr>
      </w:r>
    </w:p>
    <w:p>
      <w:pPr>
        <w:pStyle w:val="637"/>
        <w:ind w:firstLine="510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(приложение)</w:t>
      </w:r>
      <w:r>
        <w:rPr>
          <w:rFonts w:ascii="Times New Roman" w:hAnsi="Times New Roman"/>
          <w:sz w:val="28"/>
          <w:szCs w:val="28"/>
        </w:rPr>
      </w:r>
    </w:p>
    <w:p>
      <w:pPr>
        <w:pStyle w:val="6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Генеральный план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Лисинско</w:t>
      </w:r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/>
          <w:caps/>
          <w:sz w:val="28"/>
          <w:szCs w:val="28"/>
          <w:lang w:val="ru-RU"/>
        </w:rPr>
      </w:r>
      <w:r>
        <w:rPr>
          <w:rFonts w:ascii="Times New Roman" w:hAnsi="Times New Roman"/>
          <w:caps/>
          <w:sz w:val="28"/>
          <w:szCs w:val="28"/>
          <w:lang w:val="ru-RU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Тосненского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37"/>
        <w:ind w:left="-112" w:right="-143"/>
        <w:jc w:val="center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 w:clear="all"/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  <w:r>
        <w:rPr>
          <w:rFonts w:ascii="Times New Roman" w:hAnsi="Times New Roman"/>
          <w:caps/>
          <w:sz w:val="28"/>
          <w:szCs w:val="28"/>
          <w:lang w:val="ru-RU"/>
        </w:rPr>
      </w:r>
      <w:r>
        <w:rPr>
          <w:rFonts w:ascii="Times New Roman" w:hAnsi="Times New Roman"/>
          <w:caps/>
          <w:sz w:val="28"/>
          <w:szCs w:val="28"/>
          <w:lang w:val="ru-RU"/>
        </w:rPr>
      </w:r>
    </w:p>
    <w:p>
      <w:pPr>
        <w:pStyle w:val="651"/>
        <w:jc w:val="center"/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территориаль</w:t>
      </w:r>
      <w:r>
        <w:rPr>
          <w:rFonts w:ascii="Times New Roman" w:hAnsi="Times New Roman"/>
          <w:sz w:val="28"/>
          <w:szCs w:val="28"/>
        </w:rPr>
        <w:t xml:space="preserve">ном планировании</w:t>
      </w: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637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2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7"/>
        <w:ind w:firstLine="709"/>
        <w:jc w:val="both"/>
        <w:spacing w:after="240"/>
        <w:widowControl w:val="off"/>
        <w:rPr>
          <w:rFonts w:ascii="Times New Roman" w:hAnsi="Times New Roman"/>
          <w:sz w:val="28"/>
          <w:szCs w:val="28"/>
        </w:rPr>
      </w:pPr>
      <w:r/>
      <w:bookmarkStart w:id="0" w:name="_Toc449357813"/>
      <w:r/>
      <w:bookmarkStart w:id="1" w:name="_Toc455752090"/>
      <w:r>
        <w:rPr>
          <w:rFonts w:ascii="Times New Roman" w:hAnsi="Times New Roman"/>
          <w:cap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</w:t>
      </w:r>
      <w:r>
        <w:rPr>
          <w:rFonts w:ascii="Times New Roman" w:hAnsi="Times New Roman"/>
          <w:sz w:val="28"/>
          <w:szCs w:val="28"/>
        </w:rPr>
        <w:t xml:space="preserve">ие, а также характеристики зон с особыми условиями использ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вания территорий</w:t>
      </w:r>
      <w:bookmarkEnd w:id="0"/>
      <w:r/>
      <w:bookmarkEnd w:id="1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если установление таких зон требуется в связи с размещением данных объектов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9"/>
        <w:gridCol w:w="3250"/>
        <w:gridCol w:w="3827"/>
        <w:gridCol w:w="3827"/>
        <w:gridCol w:w="2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20"/>
          <w:tblHeader/>
        </w:trPr>
        <w:tc>
          <w:tcPr>
            <w:tcW w:w="328" w:type="pct"/>
            <w:vAlign w:val="center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tcW w:w="1099" w:type="pct"/>
            <w:vAlign w:val="center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</w:p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</w:p>
        </w:tc>
        <w:tc>
          <w:tcPr>
            <w:tcW w:w="1294" w:type="pct"/>
            <w:vAlign w:val="center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Местоположение об</w:t>
            </w:r>
            <w:r>
              <w:rPr>
                <w:sz w:val="28"/>
                <w:szCs w:val="28"/>
              </w:rPr>
              <w:t xml:space="preserve">ъ</w:t>
            </w:r>
            <w:r>
              <w:rPr>
                <w:sz w:val="28"/>
                <w:szCs w:val="28"/>
              </w:rPr>
              <w:t xml:space="preserve">екта, функциональная зона</w:t>
            </w:r>
            <w:r>
              <w:rPr>
                <w:sz w:val="28"/>
                <w:szCs w:val="28"/>
              </w:rPr>
            </w:r>
          </w:p>
        </w:tc>
        <w:tc>
          <w:tcPr>
            <w:tcW w:w="1294" w:type="pct"/>
            <w:vAlign w:val="center"/>
            <w:textDirection w:val="lrTb"/>
            <w:noWrap w:val="false"/>
          </w:tcPr>
          <w:p>
            <w:pPr>
              <w:pStyle w:val="645"/>
              <w:rPr>
                <w:rStyle w:val="644"/>
                <w:b w:val="0"/>
                <w:sz w:val="28"/>
                <w:szCs w:val="28"/>
              </w:rPr>
            </w:pPr>
            <w:r>
              <w:rPr>
                <w:rStyle w:val="644"/>
                <w:b w:val="0"/>
                <w:sz w:val="28"/>
                <w:szCs w:val="28"/>
              </w:rPr>
              <w:t xml:space="preserve">Характер</w:t>
            </w:r>
            <w:r>
              <w:rPr>
                <w:rStyle w:val="644"/>
                <w:b w:val="0"/>
                <w:sz w:val="28"/>
                <w:szCs w:val="28"/>
              </w:rPr>
              <w:t xml:space="preserve">и</w:t>
            </w:r>
            <w:r>
              <w:rPr>
                <w:rStyle w:val="644"/>
                <w:b w:val="0"/>
                <w:sz w:val="28"/>
                <w:szCs w:val="28"/>
              </w:rPr>
              <w:t xml:space="preserve">стика</w:t>
            </w:r>
            <w:r>
              <w:rPr>
                <w:rStyle w:val="644"/>
                <w:b w:val="0"/>
                <w:sz w:val="28"/>
                <w:szCs w:val="28"/>
              </w:rPr>
            </w:r>
          </w:p>
          <w:p>
            <w:pPr>
              <w:pStyle w:val="645"/>
              <w:rPr>
                <w:sz w:val="28"/>
                <w:szCs w:val="28"/>
              </w:rPr>
            </w:pPr>
            <w:r>
              <w:rPr>
                <w:rStyle w:val="644"/>
                <w:b w:val="0"/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85" w:type="pct"/>
            <w:vAlign w:val="center"/>
            <w:textDirection w:val="lrTb"/>
            <w:noWrap w:val="false"/>
          </w:tcPr>
          <w:p>
            <w:pPr>
              <w:pStyle w:val="645"/>
              <w:ind w:right="-108"/>
              <w:rPr>
                <w:rStyle w:val="64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зон с особыми условиями использования террит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рий </w:t>
            </w:r>
            <w:r>
              <w:rPr>
                <w:rStyle w:val="644"/>
                <w:b w:val="0"/>
                <w:sz w:val="28"/>
                <w:szCs w:val="28"/>
              </w:rPr>
            </w:r>
            <w:r>
              <w:rPr>
                <w:rStyle w:val="644"/>
                <w:b w:val="0"/>
                <w:sz w:val="28"/>
                <w:szCs w:val="28"/>
              </w:rPr>
            </w:r>
          </w:p>
        </w:tc>
      </w:tr>
    </w:tbl>
    <w:p>
      <w:pPr>
        <w:pStyle w:val="63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5000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7"/>
        <w:gridCol w:w="3265"/>
        <w:gridCol w:w="3803"/>
        <w:gridCol w:w="3862"/>
        <w:gridCol w:w="2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  <w:tblHeader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5"/>
              <w:rPr>
                <w:sz w:val="28"/>
                <w:szCs w:val="28"/>
                <w:lang w:eastAsia="en-US"/>
              </w:rPr>
            </w:pPr>
            <w:r/>
            <w:bookmarkStart w:id="2" w:name="_Toc380571706"/>
            <w:r/>
            <w:bookmarkStart w:id="3" w:name="_Toc455752091"/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104" w:type="pct"/>
            <w:vAlign w:val="top"/>
            <w:textDirection w:val="lrTb"/>
            <w:noWrap w:val="false"/>
          </w:tcPr>
          <w:p>
            <w:pPr>
              <w:pStyle w:val="645"/>
              <w:rPr>
                <w:rStyle w:val="644"/>
                <w:b w:val="0"/>
                <w:sz w:val="28"/>
                <w:szCs w:val="28"/>
              </w:rPr>
            </w:pPr>
            <w:r>
              <w:rPr>
                <w:rStyle w:val="644"/>
                <w:b w:val="0"/>
                <w:sz w:val="28"/>
                <w:szCs w:val="28"/>
              </w:rPr>
              <w:t xml:space="preserve">2</w:t>
            </w:r>
            <w:r>
              <w:rPr>
                <w:rStyle w:val="644"/>
                <w:b w:val="0"/>
                <w:sz w:val="28"/>
                <w:szCs w:val="28"/>
              </w:rPr>
            </w:r>
          </w:p>
        </w:tc>
        <w:tc>
          <w:tcPr>
            <w:tcW w:w="1286" w:type="pct"/>
            <w:vAlign w:val="top"/>
            <w:textDirection w:val="lrTb"/>
            <w:noWrap w:val="false"/>
          </w:tcPr>
          <w:p>
            <w:pPr>
              <w:pStyle w:val="645"/>
              <w:rPr>
                <w:rStyle w:val="644"/>
                <w:b w:val="0"/>
                <w:sz w:val="28"/>
                <w:szCs w:val="28"/>
              </w:rPr>
            </w:pPr>
            <w:r>
              <w:rPr>
                <w:rStyle w:val="644"/>
                <w:b w:val="0"/>
                <w:sz w:val="28"/>
                <w:szCs w:val="28"/>
              </w:rPr>
              <w:t xml:space="preserve">3</w:t>
            </w:r>
            <w:r>
              <w:rPr>
                <w:rStyle w:val="644"/>
                <w:b w:val="0"/>
                <w:sz w:val="28"/>
                <w:szCs w:val="28"/>
              </w:rPr>
            </w:r>
          </w:p>
        </w:tc>
        <w:tc>
          <w:tcPr>
            <w:tcW w:w="1306" w:type="pct"/>
            <w:vAlign w:val="top"/>
            <w:textDirection w:val="lrTb"/>
            <w:noWrap w:val="false"/>
          </w:tcPr>
          <w:p>
            <w:pPr>
              <w:pStyle w:val="645"/>
              <w:rPr>
                <w:rStyle w:val="644"/>
                <w:b w:val="0"/>
                <w:sz w:val="28"/>
                <w:szCs w:val="28"/>
              </w:rPr>
            </w:pPr>
            <w:r>
              <w:rPr>
                <w:rStyle w:val="644"/>
                <w:b w:val="0"/>
                <w:sz w:val="28"/>
                <w:szCs w:val="28"/>
              </w:rPr>
              <w:t xml:space="preserve">4</w:t>
            </w:r>
            <w:r>
              <w:rPr>
                <w:rStyle w:val="644"/>
                <w:b w:val="0"/>
                <w:sz w:val="28"/>
                <w:szCs w:val="28"/>
              </w:rPr>
            </w:r>
          </w:p>
        </w:tc>
        <w:tc>
          <w:tcPr>
            <w:tcW w:w="977" w:type="pct"/>
            <w:vAlign w:val="top"/>
            <w:textDirection w:val="lrTb"/>
            <w:noWrap w:val="false"/>
          </w:tcPr>
          <w:p>
            <w:pPr>
              <w:pStyle w:val="645"/>
              <w:rPr>
                <w:rStyle w:val="644"/>
                <w:b w:val="0"/>
                <w:sz w:val="28"/>
                <w:szCs w:val="28"/>
              </w:rPr>
            </w:pPr>
            <w:r>
              <w:rPr>
                <w:rStyle w:val="644"/>
                <w:b w:val="0"/>
                <w:sz w:val="28"/>
                <w:szCs w:val="28"/>
              </w:rPr>
              <w:t xml:space="preserve">5</w:t>
            </w:r>
            <w:r>
              <w:rPr>
                <w:rStyle w:val="644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  <w:t xml:space="preserve">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W w:w="4673" w:type="pct"/>
            <w:vAlign w:val="top"/>
            <w:textDirection w:val="lrTb"/>
            <w:noWrap w:val="false"/>
          </w:tcPr>
          <w:p>
            <w:pPr>
              <w:pStyle w:val="6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</w:t>
            </w:r>
            <w:r>
              <w:rPr>
                <w:sz w:val="28"/>
                <w:szCs w:val="28"/>
              </w:rPr>
              <w:t xml:space="preserve">ты в области автомобильных дорог местного значения</w:t>
            </w:r>
            <w:r>
              <w:rPr>
                <w:sz w:val="28"/>
                <w:szCs w:val="28"/>
              </w:rPr>
            </w:r>
          </w:p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объекта: </w:t>
            </w:r>
            <w:r>
              <w:rPr>
                <w:sz w:val="28"/>
                <w:szCs w:val="28"/>
              </w:rPr>
              <w:t xml:space="preserve">улицы и дороги местного значения в границах населенных пунктов сельского поселения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5"/>
              <w:jc w:val="left"/>
              <w:rPr>
                <w:rStyle w:val="64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объекта: 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беспечение транспортных связей </w:t>
            </w:r>
            <w:r>
              <w:rPr>
                <w:sz w:val="28"/>
                <w:szCs w:val="28"/>
              </w:rPr>
              <w:t xml:space="preserve">в населенных пунктах</w:t>
            </w:r>
            <w:r>
              <w:rPr>
                <w:rStyle w:val="644"/>
                <w:b w:val="0"/>
                <w:sz w:val="28"/>
                <w:szCs w:val="28"/>
              </w:rPr>
            </w:r>
            <w:r>
              <w:rPr>
                <w:rStyle w:val="644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1.1.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104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rStyle w:val="64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в жилой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стройке </w:t>
            </w:r>
            <w:r>
              <w:rPr>
                <w:rStyle w:val="644"/>
                <w:b w:val="0"/>
                <w:sz w:val="28"/>
                <w:szCs w:val="28"/>
              </w:rPr>
            </w:r>
            <w:r>
              <w:rPr>
                <w:rStyle w:val="644"/>
                <w:b w:val="0"/>
                <w:sz w:val="28"/>
                <w:szCs w:val="28"/>
              </w:rPr>
            </w:r>
          </w:p>
        </w:tc>
        <w:tc>
          <w:tcPr>
            <w:tcW w:w="1286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bCs/>
              </w:rPr>
            </w:pPr>
            <w:r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  <w:t xml:space="preserve">Посе</w:t>
            </w:r>
            <w:r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  <w:t xml:space="preserve">лок Лисино-Корпус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06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второстепенной улицы в жилой застройке протяже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ностью 1,1 км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977" w:type="pct"/>
            <w:vAlign w:val="top"/>
            <w:textDirection w:val="lrTb"/>
            <w:noWrap w:val="false"/>
          </w:tcPr>
          <w:p>
            <w:pPr>
              <w:pStyle w:val="6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требуе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1.2.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104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в жилой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стройке </w:t>
            </w:r>
            <w:r>
              <w:rPr>
                <w:sz w:val="28"/>
                <w:szCs w:val="28"/>
              </w:rPr>
            </w:r>
          </w:p>
        </w:tc>
        <w:tc>
          <w:tcPr>
            <w:tcW w:w="1286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  <w:t xml:space="preserve">Поселок Радофинниково</w:t>
            </w:r>
            <w:r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</w:r>
          </w:p>
        </w:tc>
        <w:tc>
          <w:tcPr>
            <w:tcW w:w="1306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Второстепенные улицы в жилой застройке протяже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ностью 5,1 км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7" w:type="pct"/>
            <w:vAlign w:val="top"/>
            <w:textDirection w:val="lrTb"/>
            <w:noWrap w:val="false"/>
          </w:tcPr>
          <w:p>
            <w:pPr>
              <w:pStyle w:val="6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требуе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W w:w="4673" w:type="pct"/>
            <w:vAlign w:val="top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Объекты в области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еплоснабж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объекта: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источники тепловой энергии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Назначение объекта: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беспечение теплоснабжения планируемой жилой и общественно-деловой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зон с особыми условиями использования территорий: режим использования санитарно-защитных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зон согласно СанПиН 2.2.1/2.1.1.1200-03 "Санитарно-защитные зоны и санитарная классификация предприятий, сооружений и иных объектов" (с изменениями)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104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тепловой эне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гии</w:t>
            </w:r>
            <w:r>
              <w:rPr>
                <w:sz w:val="28"/>
                <w:szCs w:val="28"/>
              </w:rPr>
            </w:r>
          </w:p>
        </w:tc>
        <w:tc>
          <w:tcPr>
            <w:tcW w:w="1286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644"/>
                <w:b w:val="0"/>
                <w:sz w:val="28"/>
                <w:szCs w:val="28"/>
              </w:rPr>
              <w:t xml:space="preserve">Поселок Лисино-Корпус, </w:t>
            </w:r>
            <w:r>
              <w:rPr>
                <w:rStyle w:val="644"/>
                <w:rFonts w:eastAsia="Times New Roman"/>
                <w:b w:val="0"/>
                <w:sz w:val="28"/>
                <w:szCs w:val="28"/>
                <w:lang w:eastAsia="ru-RU"/>
              </w:rPr>
              <w:t xml:space="preserve">зона инженерной инфраструктуры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6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Реконструкция, перев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 на газовое топливо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увеличением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производительности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1,72 Гкал/ч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4 Гкал/ч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97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lef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Санитарно-защитная зона 100 м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2.2.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104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тепловой эне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гии</w:t>
            </w:r>
            <w:r>
              <w:rPr>
                <w:sz w:val="28"/>
                <w:szCs w:val="28"/>
              </w:rPr>
            </w:r>
          </w:p>
        </w:tc>
        <w:tc>
          <w:tcPr>
            <w:tcW w:w="1286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644"/>
                <w:b w:val="0"/>
                <w:sz w:val="28"/>
                <w:szCs w:val="28"/>
              </w:rPr>
              <w:t xml:space="preserve">Поселок Радофинниково, </w:t>
            </w:r>
            <w:r>
              <w:rPr>
                <w:rStyle w:val="644"/>
                <w:rFonts w:eastAsia="Times New Roman"/>
                <w:b w:val="0"/>
                <w:sz w:val="28"/>
                <w:szCs w:val="28"/>
                <w:lang w:eastAsia="ru-RU"/>
              </w:rPr>
              <w:t xml:space="preserve">зона инженерной инфраструктуры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6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Установка блок-модульной котельной мощностью </w:t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Гкал/ч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97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lef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</w:t>
            </w:r>
            <w:r>
              <w:rPr>
                <w:sz w:val="28"/>
                <w:szCs w:val="28"/>
              </w:rPr>
              <w:t xml:space="preserve">нитарно-защитная зона 100 м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  <w:lang w:eastAsia="en-US"/>
              </w:rPr>
              <w:t xml:space="preserve">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W w:w="4673" w:type="pct"/>
            <w:vAlign w:val="top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Объекты в области физической культуры, школьного и массового спорта, обеспечивающие проведение физкультурно-оздоровительных или спортивных мероприятий поселения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3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объектов: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многофункциональные спортивные комплексы (физкуль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турно-оздоровительные комплексы).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42"/>
              <w:ind w:firstLine="0"/>
              <w:jc w:val="lef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объектов: обеспечение инфраструктурой для развития физической культуры и массового спорта, проведения физкультурных мероприятий и </w:t>
            </w:r>
            <w:r>
              <w:rPr>
                <w:sz w:val="28"/>
                <w:szCs w:val="28"/>
              </w:rPr>
              <w:t xml:space="preserve">массовых спортивных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3.1.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104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Физкультурно-оздоровительный комплекс</w:t>
            </w:r>
            <w:r>
              <w:rPr>
                <w:sz w:val="28"/>
                <w:szCs w:val="28"/>
              </w:rPr>
            </w:r>
          </w:p>
        </w:tc>
        <w:tc>
          <w:tcPr>
            <w:tcW w:w="1286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left"/>
              <w:spacing w:before="0" w:after="0"/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  <w:t xml:space="preserve">Посе</w:t>
            </w:r>
            <w:r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  <w:t xml:space="preserve">лок </w:t>
            </w:r>
            <w:r>
              <w:rPr>
                <w:rStyle w:val="644"/>
                <w:b w:val="0"/>
                <w:sz w:val="28"/>
                <w:szCs w:val="28"/>
              </w:rPr>
              <w:t xml:space="preserve">Радофинниково</w:t>
            </w:r>
            <w:r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</w:rPr>
              <w:t xml:space="preserve">зона специализированной общественной застройки</w:t>
            </w:r>
            <w:r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</w:r>
            <w:r>
              <w:rPr>
                <w:rStyle w:val="644"/>
                <w:rFonts w:eastAsia="Calibri"/>
                <w:b w:val="0"/>
                <w:sz w:val="28"/>
                <w:szCs w:val="28"/>
                <w:lang w:eastAsia="en-US"/>
              </w:rPr>
            </w:r>
          </w:p>
        </w:tc>
        <w:tc>
          <w:tcPr>
            <w:tcW w:w="1306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залов 420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(игровой зал для баскетбола или волейбола 28 x 15 м)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7" w:type="pct"/>
            <w:vAlign w:val="top"/>
            <w:textDirection w:val="lrTb"/>
            <w:noWrap w:val="false"/>
          </w:tcPr>
          <w:p>
            <w:pPr>
              <w:pStyle w:val="6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требуе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W w:w="4673" w:type="pct"/>
            <w:vAlign w:val="top"/>
            <w:textDirection w:val="lrTb"/>
            <w:noWrap w:val="false"/>
          </w:tcPr>
          <w:p>
            <w:pPr>
              <w:pStyle w:val="6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в области организации ритуальных услуг и содержания мест захоронения</w:t>
            </w:r>
            <w:r>
              <w:rPr>
                <w:sz w:val="28"/>
                <w:szCs w:val="28"/>
              </w:rPr>
            </w:r>
          </w:p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объекта: кладбища.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объекта: организация ритуальных услуг и содержание мест захоронения</w:t>
            </w:r>
            <w:r>
              <w:rPr>
                <w:sz w:val="28"/>
                <w:szCs w:val="28"/>
              </w:rPr>
            </w:r>
          </w:p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зон с особыми условиями использования территорий: режим использования санитарно-защитных зон согласно СанПиН 2.2.1/2.1.1.1200-03 "Санитарно-защитные зоны и санит</w:t>
            </w:r>
            <w:r>
              <w:rPr>
                <w:sz w:val="28"/>
                <w:szCs w:val="28"/>
              </w:rPr>
              <w:t xml:space="preserve">арная классификация предприятий, сооружений и иных объектов" (с изменениями)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4.1.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104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Кладбище</w:t>
            </w:r>
            <w:r>
              <w:rPr>
                <w:sz w:val="28"/>
                <w:szCs w:val="28"/>
              </w:rPr>
            </w:r>
          </w:p>
        </w:tc>
        <w:tc>
          <w:tcPr>
            <w:tcW w:w="1286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Style w:val="644"/>
                <w:b w:val="0"/>
                <w:sz w:val="28"/>
                <w:szCs w:val="28"/>
              </w:rPr>
            </w:pPr>
            <w:r>
              <w:rPr>
                <w:rStyle w:val="644"/>
                <w:b w:val="0"/>
                <w:sz w:val="28"/>
                <w:szCs w:val="28"/>
              </w:rPr>
              <w:t xml:space="preserve">К северо-востоку от деревни Каменка, зона кладбищ</w:t>
            </w:r>
            <w:r>
              <w:rPr>
                <w:rStyle w:val="644"/>
                <w:b w:val="0"/>
                <w:sz w:val="28"/>
                <w:szCs w:val="28"/>
              </w:rPr>
            </w:r>
          </w:p>
        </w:tc>
        <w:tc>
          <w:tcPr>
            <w:tcW w:w="1306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– 0,65 га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7" w:type="pct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Санитарно-защитная зона – 50 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W w:w="4673" w:type="pct"/>
            <w:vAlign w:val="top"/>
            <w:textDirection w:val="lrTb"/>
            <w:noWrap w:val="false"/>
          </w:tcPr>
          <w:p>
            <w:pPr>
              <w:pStyle w:val="6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местного значения в области организации и осуществлен</w:t>
            </w:r>
            <w:r>
              <w:rPr>
                <w:sz w:val="28"/>
                <w:szCs w:val="28"/>
              </w:rPr>
              <w:t xml:space="preserve">ия мероприятий по защите населения и территории поселения от чрезвычайных ситуаций природного и техногенного характера и создания, содержания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организации деятельности аварийно-спасательных служб и (или) аварийно-спасательных формирований на территории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3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объекты аварийно-спасательных служб и (или) аварийно-спасательных формирований.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3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Назначение объекта: обеспечение пожарной безопасности деревни Гришкино, деревни Каменка, поселка при железнодорожной станции Кастенская, деревни Федосьино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Лисинского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327" w:type="pct"/>
            <w:vAlign w:val="top"/>
            <w:textDirection w:val="lrTb"/>
            <w:noWrap w:val="false"/>
          </w:tcPr>
          <w:p>
            <w:pPr>
              <w:pStyle w:val="642"/>
              <w:ind w:firstLine="0"/>
              <w:jc w:val="center"/>
              <w:spacing w:before="0"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5.1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104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обеспечения пожарной безопасности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1286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Гришкино, </w:t>
            </w:r>
            <w:r>
              <w:rPr>
                <w:bCs/>
                <w:sz w:val="28"/>
                <w:szCs w:val="28"/>
              </w:rPr>
              <w:t xml:space="preserve">зона застройки индивидуальными жилыми домами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6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Пожарный пост на базе блока контейнерного типа, 2 пожарных автомобиля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77" w:type="pct"/>
            <w:vAlign w:val="top"/>
            <w:textDirection w:val="lrTb"/>
            <w:noWrap w:val="false"/>
          </w:tcPr>
          <w:p>
            <w:pPr>
              <w:pStyle w:val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требуе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ся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7"/>
        <w:ind w:firstLine="709"/>
        <w:jc w:val="center"/>
        <w:spacing w:after="240"/>
        <w:rPr>
          <w:rFonts w:ascii="Times New Roman" w:hAnsi="Times New Roman"/>
          <w:sz w:val="28"/>
          <w:szCs w:val="28"/>
        </w:rPr>
      </w:pPr>
      <w:r/>
      <w:bookmarkEnd w:id="2"/>
      <w:r/>
      <w:bookmarkEnd w:id="3"/>
      <w:r>
        <w:rPr>
          <w:rFonts w:ascii="Times New Roman" w:hAnsi="Times New Roman"/>
          <w:caps/>
          <w:sz w:val="28"/>
          <w:szCs w:val="28"/>
        </w:rPr>
        <w:br w:type="page" w:clear="all"/>
      </w:r>
      <w:r>
        <w:rPr>
          <w:rFonts w:ascii="Times New Roman" w:hAnsi="Times New Roman"/>
          <w:cap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Параметры функциональных зо</w:t>
      </w:r>
      <w:r>
        <w:rPr>
          <w:rFonts w:ascii="Times New Roman" w:hAnsi="Times New Roman"/>
          <w:sz w:val="28"/>
          <w:szCs w:val="28"/>
        </w:rPr>
        <w:t xml:space="preserve">н, а также сведения о планируемых для размещения в них объектах федерального зн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чения, объектах регионального значения, объектах местного значения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1843"/>
        <w:gridCol w:w="4252"/>
        <w:gridCol w:w="5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  <w:tblHeader/>
        </w:trPr>
        <w:tc>
          <w:tcPr>
            <w:gridSpan w:val="3"/>
            <w:tcW w:w="974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Функциональные зоны и их параме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ры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center"/>
            <w:vMerge w:val="restart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нируемые для размещения объекты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  <w:tblHeader/>
        </w:trPr>
        <w:tc>
          <w:tcPr>
            <w:tcW w:w="365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Наименов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ние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функциональных зон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во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обозн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чение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Параметры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  <w:br w:type="textWrapping" w:clear="all"/>
              <w:t xml:space="preserve">функциональных зон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center"/>
            <w:vMerge w:val="continue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</w:tbl>
    <w:p>
      <w:pPr>
        <w:pStyle w:val="637"/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1843"/>
        <w:gridCol w:w="4252"/>
        <w:gridCol w:w="5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  <w:tblHeader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4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застройки индивидуальными жилыми д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мами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Ж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Площадь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строений, соор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жений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3 этажа;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плотность жилого фонда брутто 850 м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на 1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плотность населения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23 человека на 1 га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Регионального значения: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Лисинская туристско-рекреационная зона.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Местного значения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поселения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объект обеспечения пожарной безопасности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(строительство)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деревне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Гришкино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4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застройки малоэтажными жилыми домами (до 4 этажей, включ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ая мансар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ный)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Ж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125,5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строений, соор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жений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4 этажа;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плотность жилого фонда брутто 1000 м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на 1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плотность населения 27 человек на 1 га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Регионального значения: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фельдшерско-акушерский пункт 1-го типа (ГБ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УЗ ЛО "Тосненская клиническая межрайонная больница")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(строительство)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в поселке Радофинниково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объект обеспечения пожарной безопасности (строительство) в поселке Лисино-Корпус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Лисинская туристско-рекреационная зона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6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Многофункциональная обществе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но-дел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овая зона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2,3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строений, соор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жений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4 этажа;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максимальный коэффициент з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стройки – 0,8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Регионального значения: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Лисинская туристско-рекреационная зона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22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специализированной общественной з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стройки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адь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52,7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строений, соор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жений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4 этажа;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максимальный коэффициент з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стройки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0,8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Регионального значения: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Лисинская туристско-рекреационная зона;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фельдшерско-акушерский пункт 2-го типа (ГБУЗ ЛО "Тосненская клиничес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кая межрайонная больница")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(строительство)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в поселке Лисино-Корпус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Местного значения поселения: </w:t>
              <w:br w:type="textWrapping" w:clear="all"/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физкультурно-оздоровительный комплекс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(строительство)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в поселке Радофинниково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5"/>
        </w:trPr>
        <w:tc>
          <w:tcPr>
            <w:tcW w:w="3652" w:type="dxa"/>
            <w:vAlign w:val="top"/>
            <w:vMerge w:val="restart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Производс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венная зона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– 27,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максимальное количество этажей на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дземной части зданий – 4 этажа;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минимальный коэффициент застройки площадок промышленных предприятий – 0,2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vMerge w:val="restart"/>
            <w:textDirection w:val="lrTb"/>
            <w:noWrap w:val="false"/>
          </w:tcPr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Регионального значения: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объект обеспечения пожарной безопасности (строительство) в поселке Радофинниково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"/>
                <w:szCs w:val="2"/>
              </w:rPr>
            </w:r>
            <w:r>
              <w:rPr>
                <w:rFonts w:ascii="Times New Roman" w:hAnsi="Times New Roman"/>
                <w:sz w:val="2"/>
                <w:szCs w:val="2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5"/>
        </w:trPr>
        <w:tc>
          <w:tcPr>
            <w:tcW w:w="3652" w:type="dxa"/>
            <w:vAlign w:val="top"/>
            <w:vMerge w:val="continue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П5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Площадь – 27,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максимальное коли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чество этажей надземной части зданий – 4 этажа;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минимальный коэффициент застройки площадок промышленных предприятий – 0,2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vMerge w:val="continue"/>
            <w:textDirection w:val="lrTb"/>
            <w:noWrap w:val="false"/>
          </w:tcPr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47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инженерной инфрастру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туры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И1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114,6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строений, сооружений – 3 этажа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Регионального зн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ачения: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Лисинская туристско-рекреационная зона.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Местного значения поселения: </w:t>
              <w:br w:type="textWrapping" w:clear="all"/>
              <w:t xml:space="preserve">- источники тепловой энергии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(реконструкция) в поселке Лисино-Корпус;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источник тепловой энергии (строительство) в поселке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Радофинниково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транспортной инфрастру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туры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Т1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525,6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строений, сооружений – 2 этажа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Регионального значения: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путепровод через железнодорожные пути Новолисино – Рогавка на автомобильной дороге Усть-Луга – Кириши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(строительство)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путепровод через железнод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орожные пути Новолисино – Рогавка на автомобильной дороге Лисино-Корпус – Радофинниково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(строительство)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транспортная развязка в разных уровнях на пересечении автомобильной дороги Усть-Луга – Кириши и автомобильной дороги Лисино-Корпус – Радофинниково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(с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троительство)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мост через ручей Пизинский на автомобильной дороге Рублево – Турово – Малиновка (км 7+743)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(реконструкция)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Лисинская туристско-рекреационная зона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сельскохозяйственных уг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дий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СХ1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3385,7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строений, сооружений для крестьянско-фермерских хозяйств – 2 этажа;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Коэффициент застройки: для крестьянско-фермерских хозяйств – 0,4; для сельскохозяйственных угодий – 0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5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садоводческих некоммерческих объединений граждан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СХ2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Площадь 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938,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альная этажность зданий, строений, соор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жений 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3 этажа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7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Производственная зона сельскохозяйственных предпр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ятий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СХ3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Площадь – 8,5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строений, сооружений – 4 этажа;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минимальный коэффициент застройки площадок сельскохозяйств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енных предприятий – 0,3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9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озелененных территорий общего пользования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Площадь –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коэффициент застройки – 0,3;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минимально допустимая доля зеленых насаждений в площади озелененных территорий общего пользования населенных пунктов – 70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Площад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ь объектов рекреационной инфраструктуры, приспособленных для занятий физической культурой и спортом, – 20 %.</w:t>
            </w:r>
            <w:r/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Регионального значения: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Лисинская туристско-рекреационная зона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9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лесов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–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97986,0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коэффициент застройки – 0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Федерального значе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ния: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компрессорная станция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(строительство)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Регионального значения: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- Лисинская туристско-рекреационная зона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7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ная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Р3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– 0,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строений, сооружений – 2 этажа;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коэффициент застройки – 0,1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кла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бищ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– 12,6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максимальная этажность зданий, строений, сооружений – 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1 этаж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коэффициент застройки – 0,1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Местного значения поселения: </w:t>
              <w:br w:type="textWrapping" w:clear="all"/>
              <w:t xml:space="preserve">- кладбище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(строительство)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режимных территорий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С2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щадь – 60,4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коэффициент застройки – 0,8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Зона озелененны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х территорий специального назначения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С3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Площадь – 5,3 га;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коэффициент застройки – 0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vAlign w:val="top"/>
            <w:textDirection w:val="lrTb"/>
            <w:noWrap w:val="false"/>
          </w:tcPr>
          <w:p>
            <w:pPr>
              <w:pStyle w:val="637"/>
              <w:spacing w:after="0" w:line="240" w:lineRule="auto"/>
              <w:tabs>
                <w:tab w:val="left" w:pos="178" w:leader="none"/>
              </w:tabs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65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299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638">
    <w:name w:val="Заголовок 4"/>
    <w:basedOn w:val="637"/>
    <w:next w:val="642"/>
    <w:link w:val="661"/>
    <w:qFormat/>
    <w:pPr>
      <w:keepNext/>
      <w:spacing w:before="120" w:after="60" w:line="240" w:lineRule="auto"/>
      <w:tabs>
        <w:tab w:val="left" w:pos="1418" w:leader="none"/>
      </w:tabs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character" w:styleId="639">
    <w:name w:val="Основной шрифт абзаца"/>
    <w:next w:val="639"/>
    <w:link w:val="637"/>
    <w:uiPriority w:val="1"/>
    <w:semiHidden/>
    <w:unhideWhenUsed/>
  </w:style>
  <w:style w:type="table" w:styleId="640">
    <w:name w:val="Обычная таблица"/>
    <w:next w:val="640"/>
    <w:link w:val="637"/>
    <w:uiPriority w:val="99"/>
    <w:semiHidden/>
    <w:unhideWhenUsed/>
    <w:tblPr/>
  </w:style>
  <w:style w:type="numbering" w:styleId="641">
    <w:name w:val="Нет списка"/>
    <w:next w:val="641"/>
    <w:link w:val="637"/>
    <w:uiPriority w:val="99"/>
    <w:semiHidden/>
    <w:unhideWhenUsed/>
  </w:style>
  <w:style w:type="paragraph" w:styleId="642">
    <w:name w:val="Абзац"/>
    <w:next w:val="642"/>
    <w:link w:val="643"/>
    <w:qFormat/>
    <w:pPr>
      <w:ind w:firstLine="567"/>
      <w:jc w:val="both"/>
      <w:spacing w:before="120" w:after="60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Абзац Знак"/>
    <w:next w:val="643"/>
    <w:link w:val="642"/>
    <w:rPr>
      <w:rFonts w:ascii="Times New Roman" w:hAnsi="Times New Roman" w:eastAsia="Times New Roman"/>
      <w:sz w:val="24"/>
      <w:szCs w:val="24"/>
      <w:lang w:eastAsia="ru-RU" w:bidi="ar-SA"/>
    </w:rPr>
  </w:style>
  <w:style w:type="character" w:styleId="644">
    <w:name w:val="Текст_Жирный"/>
    <w:next w:val="644"/>
    <w:link w:val="637"/>
    <w:uiPriority w:val="1"/>
    <w:qFormat/>
    <w:rPr>
      <w:rFonts w:ascii="Times New Roman" w:hAnsi="Times New Roman" w:cs="Times New Roman"/>
      <w:b/>
      <w:bCs/>
    </w:rPr>
  </w:style>
  <w:style w:type="paragraph" w:styleId="645">
    <w:name w:val="Табличный_таблица_11"/>
    <w:next w:val="645"/>
    <w:link w:val="646"/>
    <w:qFormat/>
    <w:pPr>
      <w:jc w:val="center"/>
    </w:pPr>
    <w:rPr>
      <w:rFonts w:ascii="Times New Roman" w:hAnsi="Times New Roman" w:eastAsia="Times New Roman"/>
      <w:lang w:val="ru-RU" w:eastAsia="ru-RU" w:bidi="ar-SA"/>
    </w:rPr>
  </w:style>
  <w:style w:type="character" w:styleId="646">
    <w:name w:val="Табличный_таблица_11 Знак"/>
    <w:next w:val="646"/>
    <w:link w:val="645"/>
    <w:rPr>
      <w:rFonts w:ascii="Times New Roman" w:hAnsi="Times New Roman" w:eastAsia="Times New Roman"/>
      <w:lang w:eastAsia="ru-RU" w:bidi="ar-SA"/>
    </w:rPr>
  </w:style>
  <w:style w:type="character" w:styleId="647">
    <w:name w:val="Текст_Обычный"/>
    <w:basedOn w:val="639"/>
    <w:next w:val="647"/>
    <w:link w:val="637"/>
    <w:qFormat/>
  </w:style>
  <w:style w:type="paragraph" w:styleId="648">
    <w:name w:val="Текст сноски,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Знак5 Знак"/>
    <w:basedOn w:val="637"/>
    <w:next w:val="648"/>
    <w:link w:val="649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649">
    <w:name w:val="Текст сноски Знак,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next w:val="649"/>
    <w:link w:val="64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50">
    <w:name w:val="Знак сноски,Знак сноски 1,Знак сноски-FN,Ciae niinee-FN,Referencia nota al pie"/>
    <w:next w:val="650"/>
    <w:link w:val="637"/>
    <w:rPr>
      <w:rFonts w:ascii="Times New Roman" w:hAnsi="Times New Roman" w:cs="Times New Roman"/>
      <w:sz w:val="22"/>
      <w:szCs w:val="22"/>
      <w:vertAlign w:val="superscript"/>
    </w:rPr>
  </w:style>
  <w:style w:type="paragraph" w:styleId="651">
    <w:name w:val="Основной текст"/>
    <w:basedOn w:val="637"/>
    <w:next w:val="651"/>
    <w:link w:val="652"/>
    <w:pPr>
      <w:spacing w:after="120" w:line="240" w:lineRule="auto"/>
      <w:widowControl w:val="off"/>
    </w:pPr>
    <w:rPr>
      <w:rFonts w:ascii="Arial" w:hAnsi="Arial" w:eastAsia="Times New Roman"/>
      <w:sz w:val="20"/>
      <w:szCs w:val="20"/>
      <w:lang w:val="en-US" w:eastAsia="ru-RU"/>
    </w:rPr>
  </w:style>
  <w:style w:type="character" w:styleId="652">
    <w:name w:val="Основной текст Знак"/>
    <w:next w:val="652"/>
    <w:link w:val="651"/>
    <w:rPr>
      <w:rFonts w:ascii="Arial" w:hAnsi="Arial" w:eastAsia="Times New Roman" w:cs="Arial"/>
      <w:sz w:val="20"/>
      <w:szCs w:val="20"/>
      <w:lang w:eastAsia="ru-RU"/>
    </w:rPr>
  </w:style>
  <w:style w:type="paragraph" w:styleId="653">
    <w:name w:val="Верхний колонтитул"/>
    <w:basedOn w:val="637"/>
    <w:next w:val="653"/>
    <w:link w:val="6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39"/>
    <w:next w:val="654"/>
    <w:link w:val="653"/>
    <w:uiPriority w:val="99"/>
  </w:style>
  <w:style w:type="paragraph" w:styleId="655">
    <w:name w:val="Нижний колонтитул"/>
    <w:basedOn w:val="637"/>
    <w:next w:val="655"/>
    <w:link w:val="6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39"/>
    <w:next w:val="656"/>
    <w:link w:val="655"/>
    <w:uiPriority w:val="99"/>
  </w:style>
  <w:style w:type="table" w:styleId="657">
    <w:name w:val="Сетка таблицы"/>
    <w:basedOn w:val="640"/>
    <w:next w:val="657"/>
    <w:link w:val="637"/>
    <w:uiPriority w:val="39"/>
    <w:pPr>
      <w:spacing w:after="0" w:line="240" w:lineRule="auto"/>
    </w:pPr>
    <w:tblPr/>
  </w:style>
  <w:style w:type="character" w:styleId="658">
    <w:name w:val="w"/>
    <w:next w:val="658"/>
    <w:link w:val="637"/>
  </w:style>
  <w:style w:type="character" w:styleId="659">
    <w:name w:val="Строгий"/>
    <w:next w:val="659"/>
    <w:link w:val="637"/>
    <w:uiPriority w:val="22"/>
    <w:qFormat/>
    <w:rPr>
      <w:b/>
      <w:bCs/>
    </w:rPr>
  </w:style>
  <w:style w:type="character" w:styleId="660">
    <w:name w:val="Номер страницы"/>
    <w:basedOn w:val="639"/>
    <w:next w:val="660"/>
    <w:link w:val="637"/>
    <w:uiPriority w:val="99"/>
    <w:semiHidden/>
    <w:unhideWhenUsed/>
  </w:style>
  <w:style w:type="character" w:styleId="661">
    <w:name w:val="Заголовок 4 Знак"/>
    <w:next w:val="661"/>
    <w:link w:val="638"/>
    <w:rPr>
      <w:rFonts w:eastAsia="Times New Roman"/>
      <w:b/>
      <w:bCs/>
      <w:sz w:val="28"/>
      <w:szCs w:val="28"/>
    </w:rPr>
  </w:style>
  <w:style w:type="paragraph" w:styleId="662">
    <w:name w:val="Без интервала"/>
    <w:next w:val="662"/>
    <w:link w:val="663"/>
    <w:qFormat/>
    <w:rPr>
      <w:sz w:val="22"/>
      <w:szCs w:val="22"/>
      <w:lang w:val="ru-RU" w:eastAsia="en-US" w:bidi="ar-SA"/>
    </w:rPr>
  </w:style>
  <w:style w:type="character" w:styleId="663">
    <w:name w:val="Без интервала Знак"/>
    <w:next w:val="663"/>
    <w:link w:val="662"/>
    <w:rPr>
      <w:sz w:val="22"/>
      <w:szCs w:val="22"/>
      <w:lang w:eastAsia="en-US" w:bidi="ar-SA"/>
    </w:rPr>
  </w:style>
  <w:style w:type="character" w:styleId="664">
    <w:name w:val="Font Style23"/>
    <w:next w:val="664"/>
    <w:link w:val="637"/>
    <w:uiPriority w:val="99"/>
    <w:rPr>
      <w:rFonts w:ascii="Times New Roman" w:hAnsi="Times New Roman" w:cs="Times New Roman"/>
      <w:sz w:val="22"/>
      <w:szCs w:val="22"/>
    </w:rPr>
  </w:style>
  <w:style w:type="character" w:styleId="665">
    <w:name w:val="Знак примечания"/>
    <w:next w:val="665"/>
    <w:link w:val="637"/>
    <w:uiPriority w:val="99"/>
    <w:semiHidden/>
    <w:unhideWhenUsed/>
    <w:rPr>
      <w:sz w:val="16"/>
      <w:szCs w:val="16"/>
    </w:rPr>
  </w:style>
  <w:style w:type="paragraph" w:styleId="666">
    <w:name w:val="Текст примечания"/>
    <w:basedOn w:val="637"/>
    <w:next w:val="666"/>
    <w:link w:val="667"/>
    <w:uiPriority w:val="99"/>
    <w:semiHidden/>
    <w:unhideWhenUsed/>
    <w:rPr>
      <w:sz w:val="20"/>
      <w:szCs w:val="20"/>
      <w:lang w:val="en-US"/>
    </w:rPr>
  </w:style>
  <w:style w:type="character" w:styleId="667">
    <w:name w:val="Текст примечания Знак"/>
    <w:next w:val="667"/>
    <w:link w:val="666"/>
    <w:uiPriority w:val="99"/>
    <w:semiHidden/>
    <w:rPr>
      <w:lang w:eastAsia="en-US"/>
    </w:rPr>
  </w:style>
  <w:style w:type="paragraph" w:styleId="668">
    <w:name w:val="Тема примечания"/>
    <w:basedOn w:val="666"/>
    <w:next w:val="666"/>
    <w:link w:val="669"/>
    <w:uiPriority w:val="99"/>
    <w:semiHidden/>
    <w:unhideWhenUsed/>
    <w:rPr>
      <w:b/>
      <w:bCs/>
    </w:rPr>
  </w:style>
  <w:style w:type="character" w:styleId="669">
    <w:name w:val="Тема примечания Знак"/>
    <w:next w:val="669"/>
    <w:link w:val="668"/>
    <w:uiPriority w:val="99"/>
    <w:semiHidden/>
    <w:rPr>
      <w:b/>
      <w:bCs/>
      <w:lang w:eastAsia="en-US"/>
    </w:rPr>
  </w:style>
  <w:style w:type="paragraph" w:styleId="670">
    <w:name w:val="Текст выноски"/>
    <w:basedOn w:val="637"/>
    <w:next w:val="670"/>
    <w:link w:val="671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671">
    <w:name w:val="Текст выноски Знак"/>
    <w:next w:val="671"/>
    <w:link w:val="670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672">
    <w:name w:val="Текст концевой сноски"/>
    <w:basedOn w:val="637"/>
    <w:next w:val="672"/>
    <w:link w:val="673"/>
    <w:uiPriority w:val="99"/>
    <w:semiHidden/>
    <w:unhideWhenUsed/>
    <w:rPr>
      <w:sz w:val="20"/>
      <w:szCs w:val="20"/>
      <w:lang w:val="en-US"/>
    </w:rPr>
  </w:style>
  <w:style w:type="character" w:styleId="673">
    <w:name w:val="Текст концевой сноски Знак"/>
    <w:next w:val="673"/>
    <w:link w:val="672"/>
    <w:uiPriority w:val="99"/>
    <w:semiHidden/>
    <w:rPr>
      <w:lang w:eastAsia="en-US"/>
    </w:rPr>
  </w:style>
  <w:style w:type="character" w:styleId="674">
    <w:name w:val="Знак концевой сноски"/>
    <w:next w:val="674"/>
    <w:link w:val="637"/>
    <w:uiPriority w:val="99"/>
    <w:semiHidden/>
    <w:unhideWhenUsed/>
    <w:rPr>
      <w:vertAlign w:val="superscript"/>
    </w:rPr>
  </w:style>
  <w:style w:type="character" w:styleId="2902" w:default="1">
    <w:name w:val="Default Paragraph Font"/>
    <w:uiPriority w:val="1"/>
    <w:semiHidden/>
    <w:unhideWhenUsed/>
  </w:style>
  <w:style w:type="numbering" w:styleId="2903" w:default="1">
    <w:name w:val="No List"/>
    <w:uiPriority w:val="99"/>
    <w:semiHidden/>
    <w:unhideWhenUsed/>
  </w:style>
  <w:style w:type="table" w:styleId="2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Якушин</dc:creator>
  <cp:lastModifiedBy>av_valaitis</cp:lastModifiedBy>
  <cp:revision>134</cp:revision>
  <dcterms:created xsi:type="dcterms:W3CDTF">2023-10-05T11:02:00Z</dcterms:created>
  <dcterms:modified xsi:type="dcterms:W3CDTF">2026-01-15T12:44:39Z</dcterms:modified>
  <cp:version>1048576</cp:version>
</cp:coreProperties>
</file>