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A0" w:rsidRPr="00F650B7" w:rsidRDefault="004921A0" w:rsidP="004921A0">
      <w:pPr>
        <w:ind w:left="6237"/>
        <w:rPr>
          <w:rFonts w:eastAsiaTheme="minorHAnsi" w:cstheme="minorBidi"/>
          <w:lang w:eastAsia="en-US"/>
        </w:rPr>
      </w:pPr>
      <w:bookmarkStart w:id="0" w:name="P31"/>
      <w:bookmarkEnd w:id="0"/>
      <w:r w:rsidRPr="00F650B7">
        <w:rPr>
          <w:rFonts w:eastAsiaTheme="minorHAnsi" w:cstheme="minorBidi"/>
          <w:lang w:eastAsia="en-US"/>
        </w:rPr>
        <w:t>УТВЕРЖДЕН</w:t>
      </w:r>
    </w:p>
    <w:p w:rsidR="004921A0" w:rsidRPr="00F650B7" w:rsidRDefault="004921A0" w:rsidP="004921A0">
      <w:pPr>
        <w:ind w:left="6237"/>
        <w:rPr>
          <w:rFonts w:eastAsiaTheme="minorHAnsi" w:cstheme="minorBidi"/>
          <w:lang w:eastAsia="en-US"/>
        </w:rPr>
      </w:pPr>
      <w:r w:rsidRPr="00F650B7">
        <w:rPr>
          <w:rFonts w:eastAsiaTheme="minorHAnsi" w:cstheme="minorBidi"/>
          <w:lang w:eastAsia="en-US"/>
        </w:rPr>
        <w:t>постановлением Правительства</w:t>
      </w:r>
    </w:p>
    <w:p w:rsidR="004921A0" w:rsidRPr="00F650B7" w:rsidRDefault="004921A0" w:rsidP="004921A0">
      <w:pPr>
        <w:ind w:left="6237"/>
        <w:rPr>
          <w:rFonts w:eastAsiaTheme="minorHAnsi" w:cstheme="minorBidi"/>
          <w:lang w:eastAsia="en-US"/>
        </w:rPr>
      </w:pPr>
      <w:r w:rsidRPr="00F650B7">
        <w:rPr>
          <w:rFonts w:eastAsiaTheme="minorHAnsi" w:cstheme="minorBidi"/>
          <w:lang w:eastAsia="en-US"/>
        </w:rPr>
        <w:t>Ленинградской области</w:t>
      </w:r>
    </w:p>
    <w:p w:rsidR="004921A0" w:rsidRPr="00F650B7" w:rsidRDefault="004921A0" w:rsidP="004921A0">
      <w:pPr>
        <w:ind w:left="6237"/>
        <w:rPr>
          <w:rFonts w:eastAsiaTheme="minorHAnsi" w:cstheme="minorBidi"/>
          <w:lang w:eastAsia="en-US"/>
        </w:rPr>
      </w:pPr>
      <w:r w:rsidRPr="00F650B7">
        <w:rPr>
          <w:rFonts w:eastAsiaTheme="minorHAnsi" w:cstheme="minorBidi"/>
          <w:lang w:eastAsia="en-US"/>
        </w:rPr>
        <w:t>от 17 февраля 2023 года № 104</w:t>
      </w:r>
    </w:p>
    <w:p w:rsidR="004921A0" w:rsidRPr="00F650B7" w:rsidRDefault="004921A0" w:rsidP="004921A0">
      <w:pPr>
        <w:ind w:left="6237"/>
        <w:rPr>
          <w:rFonts w:eastAsiaTheme="minorHAnsi" w:cstheme="minorBidi"/>
          <w:lang w:eastAsia="en-US"/>
        </w:rPr>
      </w:pPr>
      <w:r w:rsidRPr="00F650B7">
        <w:rPr>
          <w:rFonts w:eastAsiaTheme="minorHAnsi" w:cstheme="minorBidi"/>
          <w:lang w:eastAsia="en-US"/>
        </w:rPr>
        <w:t>(в редакции постановления Правительства Ленинградской области от                 №</w:t>
      </w:r>
      <w:proofErr w:type="gramStart"/>
      <w:r w:rsidRPr="00F650B7">
        <w:rPr>
          <w:rFonts w:eastAsiaTheme="minorHAnsi" w:cstheme="minorBidi"/>
          <w:lang w:eastAsia="en-US"/>
        </w:rPr>
        <w:t xml:space="preserve">                )</w:t>
      </w:r>
      <w:proofErr w:type="gramEnd"/>
    </w:p>
    <w:p w:rsidR="004921A0" w:rsidRPr="00F650B7" w:rsidRDefault="004921A0" w:rsidP="004921A0">
      <w:pPr>
        <w:pStyle w:val="ConsPlusTitle"/>
        <w:ind w:left="6237"/>
        <w:rPr>
          <w:rFonts w:ascii="Times New Roman" w:eastAsia="Times New Roman" w:hAnsi="Times New Roman" w:cs="Times New Roman"/>
          <w:b w:val="0"/>
          <w:bCs/>
          <w:sz w:val="28"/>
          <w:szCs w:val="28"/>
        </w:rPr>
      </w:pPr>
      <w:r w:rsidRPr="00F650B7">
        <w:rPr>
          <w:rFonts w:ascii="Times New Roman" w:eastAsiaTheme="minorHAnsi" w:hAnsi="Times New Roman" w:cstheme="minorBidi"/>
          <w:b w:val="0"/>
          <w:sz w:val="24"/>
          <w:szCs w:val="24"/>
          <w:lang w:eastAsia="en-US"/>
        </w:rPr>
        <w:t>(приложение)</w:t>
      </w:r>
    </w:p>
    <w:p w:rsidR="004921A0" w:rsidRPr="00F650B7" w:rsidRDefault="004921A0" w:rsidP="00D16555">
      <w:pPr>
        <w:pStyle w:val="ConsPlusTitle"/>
        <w:jc w:val="center"/>
        <w:rPr>
          <w:rFonts w:ascii="Times New Roman" w:eastAsia="Times New Roman" w:hAnsi="Times New Roman" w:cs="Times New Roman"/>
          <w:b w:val="0"/>
          <w:bCs/>
          <w:sz w:val="28"/>
          <w:szCs w:val="28"/>
        </w:rPr>
      </w:pPr>
    </w:p>
    <w:p w:rsidR="004921A0" w:rsidRPr="00F650B7" w:rsidRDefault="004921A0" w:rsidP="00D16555">
      <w:pPr>
        <w:pStyle w:val="ConsPlusTitle"/>
        <w:jc w:val="center"/>
        <w:rPr>
          <w:rFonts w:ascii="Times New Roman" w:eastAsia="Times New Roman" w:hAnsi="Times New Roman" w:cs="Times New Roman"/>
          <w:b w:val="0"/>
          <w:bCs/>
          <w:sz w:val="28"/>
          <w:szCs w:val="28"/>
        </w:rPr>
      </w:pPr>
    </w:p>
    <w:p w:rsidR="00D70A87" w:rsidRPr="00F650B7" w:rsidRDefault="004921A0" w:rsidP="00D16555">
      <w:pPr>
        <w:pStyle w:val="ConsPlusTitle"/>
        <w:jc w:val="center"/>
        <w:rPr>
          <w:rFonts w:ascii="Times New Roman" w:eastAsia="Times New Roman" w:hAnsi="Times New Roman" w:cs="Times New Roman"/>
          <w:bCs/>
          <w:sz w:val="28"/>
          <w:szCs w:val="28"/>
        </w:rPr>
      </w:pPr>
      <w:r w:rsidRPr="00F650B7">
        <w:rPr>
          <w:rFonts w:ascii="Times New Roman" w:eastAsia="Times New Roman" w:hAnsi="Times New Roman" w:cs="Times New Roman"/>
          <w:bCs/>
          <w:sz w:val="28"/>
          <w:szCs w:val="28"/>
        </w:rPr>
        <w:t>Бюджетный прогноз</w:t>
      </w:r>
    </w:p>
    <w:p w:rsidR="00D70A87" w:rsidRPr="00F650B7" w:rsidRDefault="004921A0" w:rsidP="00D16555">
      <w:pPr>
        <w:pStyle w:val="ConsPlusTitle"/>
        <w:jc w:val="center"/>
        <w:rPr>
          <w:rFonts w:ascii="Times New Roman" w:eastAsia="Times New Roman" w:hAnsi="Times New Roman" w:cs="Times New Roman"/>
          <w:bCs/>
          <w:sz w:val="28"/>
          <w:szCs w:val="28"/>
        </w:rPr>
      </w:pPr>
      <w:r w:rsidRPr="00F650B7">
        <w:rPr>
          <w:rFonts w:ascii="Times New Roman" w:eastAsia="Times New Roman" w:hAnsi="Times New Roman" w:cs="Times New Roman"/>
          <w:bCs/>
          <w:sz w:val="28"/>
          <w:szCs w:val="28"/>
        </w:rPr>
        <w:t>Ленинградской области на период до 2034 года</w:t>
      </w:r>
    </w:p>
    <w:p w:rsidR="00D70A87" w:rsidRPr="00F650B7" w:rsidRDefault="004921A0" w:rsidP="00D16555">
      <w:pPr>
        <w:pStyle w:val="ConsPlusTitle"/>
        <w:jc w:val="center"/>
        <w:rPr>
          <w:rFonts w:ascii="Times New Roman" w:eastAsia="Times New Roman" w:hAnsi="Times New Roman" w:cs="Times New Roman"/>
          <w:bCs/>
          <w:sz w:val="28"/>
          <w:szCs w:val="28"/>
        </w:rPr>
      </w:pPr>
      <w:r w:rsidRPr="00F650B7">
        <w:rPr>
          <w:rFonts w:ascii="Times New Roman" w:eastAsia="Times New Roman" w:hAnsi="Times New Roman" w:cs="Times New Roman"/>
          <w:bCs/>
          <w:sz w:val="28"/>
          <w:szCs w:val="28"/>
        </w:rPr>
        <w:t>(далее - Бюджетный прогноз)</w:t>
      </w:r>
    </w:p>
    <w:p w:rsidR="00D70A87" w:rsidRPr="00F650B7" w:rsidRDefault="00D70A87" w:rsidP="00D16555">
      <w:pPr>
        <w:pStyle w:val="ConsPlusNormal"/>
      </w:pPr>
    </w:p>
    <w:p w:rsidR="00D70A87" w:rsidRPr="00F650B7" w:rsidRDefault="00D70A87" w:rsidP="00D16555">
      <w:pPr>
        <w:pStyle w:val="ConsPlusTitle"/>
        <w:jc w:val="center"/>
        <w:outlineLvl w:val="1"/>
        <w:rPr>
          <w:rFonts w:ascii="Times New Roman" w:eastAsia="Times New Roman" w:hAnsi="Times New Roman" w:cs="Times New Roman"/>
          <w:bCs/>
          <w:sz w:val="28"/>
          <w:szCs w:val="28"/>
        </w:rPr>
      </w:pPr>
      <w:r w:rsidRPr="00F650B7">
        <w:rPr>
          <w:rFonts w:ascii="Times New Roman" w:eastAsia="Times New Roman" w:hAnsi="Times New Roman" w:cs="Times New Roman"/>
          <w:bCs/>
          <w:sz w:val="28"/>
          <w:szCs w:val="28"/>
        </w:rPr>
        <w:t>1. Условия формирования Бюджетного прогноза</w:t>
      </w:r>
    </w:p>
    <w:p w:rsidR="00D70A87" w:rsidRPr="00F650B7" w:rsidRDefault="00D70A87" w:rsidP="00D16555">
      <w:pPr>
        <w:pStyle w:val="ConsPlusNormal"/>
        <w:ind w:firstLine="709"/>
        <w:rPr>
          <w:highlight w:val="yellow"/>
        </w:rPr>
      </w:pPr>
    </w:p>
    <w:p w:rsidR="00FC1F8A" w:rsidRPr="00F650B7" w:rsidRDefault="00FC1F8A" w:rsidP="00FC1F8A">
      <w:pPr>
        <w:pStyle w:val="ConsPlusNormal"/>
        <w:ind w:firstLine="709"/>
        <w:jc w:val="both"/>
        <w:rPr>
          <w:rFonts w:ascii="Times New Roman" w:eastAsia="Calibri" w:hAnsi="Times New Roman" w:cs="Times New Roman"/>
          <w:sz w:val="28"/>
          <w:szCs w:val="28"/>
          <w:lang w:eastAsia="en-US"/>
        </w:rPr>
      </w:pPr>
      <w:r w:rsidRPr="00F650B7">
        <w:rPr>
          <w:rFonts w:ascii="Times New Roman" w:eastAsia="Calibri" w:hAnsi="Times New Roman" w:cs="Times New Roman"/>
          <w:sz w:val="28"/>
          <w:szCs w:val="28"/>
          <w:lang w:eastAsia="en-US"/>
        </w:rPr>
        <w:t xml:space="preserve">Вследствие введения беспрецедентных экономических санкций со стороны недружественных государств существенно трансформировались внешние и внутренние условия развития экономики Российской Федерации. </w:t>
      </w:r>
    </w:p>
    <w:p w:rsidR="00FC1F8A" w:rsidRPr="00F650B7" w:rsidRDefault="00FC1F8A" w:rsidP="00FC1F8A">
      <w:pPr>
        <w:pStyle w:val="ConsPlusNormal"/>
        <w:ind w:firstLine="709"/>
        <w:jc w:val="both"/>
        <w:rPr>
          <w:rFonts w:ascii="Times New Roman" w:eastAsia="Calibri" w:hAnsi="Times New Roman" w:cs="Times New Roman"/>
          <w:sz w:val="28"/>
          <w:szCs w:val="28"/>
          <w:lang w:eastAsia="en-US"/>
        </w:rPr>
      </w:pPr>
      <w:r w:rsidRPr="00F650B7">
        <w:rPr>
          <w:rFonts w:ascii="Times New Roman" w:eastAsia="Calibri" w:hAnsi="Times New Roman" w:cs="Times New Roman"/>
          <w:sz w:val="28"/>
          <w:szCs w:val="28"/>
          <w:lang w:eastAsia="en-US"/>
        </w:rPr>
        <w:t xml:space="preserve">В 2023 году ситуация в мировой экономике оставалась сложной. Несмотря на значительное снижение цен на товарно-сырьевых рынках относительно максимумов 2022 года и, как следствие, уменьшение инфляционного давления, уровень инфляции во многих странах оставался выше целевых значений. </w:t>
      </w:r>
    </w:p>
    <w:p w:rsidR="00FC1F8A" w:rsidRPr="00F650B7" w:rsidRDefault="00FC1F8A" w:rsidP="00FC1F8A">
      <w:pPr>
        <w:pStyle w:val="ConsPlusNormal"/>
        <w:ind w:firstLine="709"/>
        <w:jc w:val="both"/>
        <w:rPr>
          <w:rFonts w:ascii="Times New Roman" w:eastAsia="Calibri" w:hAnsi="Times New Roman" w:cs="Times New Roman"/>
          <w:sz w:val="28"/>
          <w:szCs w:val="28"/>
          <w:lang w:eastAsia="en-US"/>
        </w:rPr>
      </w:pPr>
      <w:r w:rsidRPr="00F650B7">
        <w:rPr>
          <w:rFonts w:ascii="Times New Roman" w:eastAsia="Calibri" w:hAnsi="Times New Roman" w:cs="Times New Roman"/>
          <w:sz w:val="28"/>
          <w:szCs w:val="28"/>
          <w:lang w:eastAsia="en-US"/>
        </w:rPr>
        <w:t>Мировая торговля товарами сократилась на 1,2%, испытав негативные последствия ужесточения торговых мер (в 2023 году было введено 3 тысячи новых торговых ограничений) и нарушения транспортно-логистических цепочек.</w:t>
      </w:r>
    </w:p>
    <w:p w:rsidR="00FC1F8A" w:rsidRPr="00F650B7" w:rsidRDefault="00FC1F8A" w:rsidP="00FC1F8A">
      <w:pPr>
        <w:pStyle w:val="ConsPlusNormal"/>
        <w:ind w:firstLine="709"/>
        <w:jc w:val="both"/>
        <w:rPr>
          <w:rFonts w:ascii="Times New Roman" w:eastAsia="Calibri" w:hAnsi="Times New Roman" w:cs="Times New Roman"/>
          <w:sz w:val="28"/>
          <w:szCs w:val="28"/>
          <w:lang w:eastAsia="en-US"/>
        </w:rPr>
      </w:pPr>
      <w:r w:rsidRPr="00F650B7">
        <w:rPr>
          <w:rFonts w:ascii="Times New Roman" w:eastAsia="Calibri" w:hAnsi="Times New Roman" w:cs="Times New Roman"/>
          <w:sz w:val="28"/>
          <w:szCs w:val="28"/>
          <w:lang w:eastAsia="en-US"/>
        </w:rPr>
        <w:t xml:space="preserve">Цены на нефть марки </w:t>
      </w:r>
      <w:proofErr w:type="spellStart"/>
      <w:r w:rsidRPr="00F650B7">
        <w:rPr>
          <w:rFonts w:ascii="Times New Roman" w:eastAsia="Calibri" w:hAnsi="Times New Roman" w:cs="Times New Roman"/>
          <w:sz w:val="28"/>
          <w:szCs w:val="28"/>
          <w:lang w:eastAsia="en-US"/>
        </w:rPr>
        <w:t>Брент</w:t>
      </w:r>
      <w:proofErr w:type="spellEnd"/>
      <w:r w:rsidRPr="00F650B7">
        <w:rPr>
          <w:rFonts w:ascii="Times New Roman" w:eastAsia="Calibri" w:hAnsi="Times New Roman" w:cs="Times New Roman"/>
          <w:sz w:val="28"/>
          <w:szCs w:val="28"/>
          <w:lang w:eastAsia="en-US"/>
        </w:rPr>
        <w:t xml:space="preserve"> в 2023 году снизились на 18,0% по сравнению с 2022 годом составили 82,6 долларов США за баррель на фоне роста добычи нефти и замедления </w:t>
      </w:r>
      <w:proofErr w:type="gramStart"/>
      <w:r w:rsidRPr="00F650B7">
        <w:rPr>
          <w:rFonts w:ascii="Times New Roman" w:eastAsia="Calibri" w:hAnsi="Times New Roman" w:cs="Times New Roman"/>
          <w:sz w:val="28"/>
          <w:szCs w:val="28"/>
          <w:lang w:eastAsia="en-US"/>
        </w:rPr>
        <w:t>темпов развития экономик потребителей нефти</w:t>
      </w:r>
      <w:proofErr w:type="gramEnd"/>
      <w:r w:rsidRPr="00F650B7">
        <w:rPr>
          <w:rFonts w:ascii="Times New Roman" w:eastAsia="Calibri" w:hAnsi="Times New Roman" w:cs="Times New Roman"/>
          <w:sz w:val="28"/>
          <w:szCs w:val="28"/>
          <w:lang w:eastAsia="en-US"/>
        </w:rPr>
        <w:t>.</w:t>
      </w:r>
    </w:p>
    <w:p w:rsidR="00FC1F8A" w:rsidRPr="00F650B7" w:rsidRDefault="00FC1F8A" w:rsidP="00FC1F8A">
      <w:pPr>
        <w:pStyle w:val="ConsPlusNormal"/>
        <w:ind w:firstLine="709"/>
        <w:jc w:val="both"/>
        <w:rPr>
          <w:rFonts w:ascii="Times New Roman" w:eastAsia="Calibri" w:hAnsi="Times New Roman" w:cs="Times New Roman"/>
          <w:sz w:val="28"/>
          <w:szCs w:val="28"/>
          <w:lang w:eastAsia="en-US"/>
        </w:rPr>
      </w:pPr>
      <w:r w:rsidRPr="00F650B7">
        <w:rPr>
          <w:rFonts w:ascii="Times New Roman" w:eastAsia="Calibri" w:hAnsi="Times New Roman" w:cs="Times New Roman"/>
          <w:sz w:val="28"/>
          <w:szCs w:val="28"/>
          <w:lang w:eastAsia="en-US"/>
        </w:rPr>
        <w:t>Однако отечественная экономика выстояла в условиях санкций благодаря устойчивой финансовой базе и инфраструктуре. Россия вошла в четверку самых сильных стран мира по экономическому развитию с точки зрения паритета покупательной способности.</w:t>
      </w:r>
    </w:p>
    <w:p w:rsidR="00FC1F8A" w:rsidRPr="00F650B7" w:rsidRDefault="00FC1F8A" w:rsidP="00FC1F8A">
      <w:pPr>
        <w:pStyle w:val="ConsPlusNormal"/>
        <w:ind w:firstLine="709"/>
        <w:jc w:val="both"/>
        <w:rPr>
          <w:rFonts w:ascii="Times New Roman" w:eastAsia="Calibri" w:hAnsi="Times New Roman" w:cs="Times New Roman"/>
          <w:sz w:val="28"/>
          <w:szCs w:val="28"/>
          <w:lang w:eastAsia="en-US"/>
        </w:rPr>
      </w:pPr>
      <w:r w:rsidRPr="00F650B7">
        <w:rPr>
          <w:rFonts w:ascii="Times New Roman" w:eastAsia="Calibri" w:hAnsi="Times New Roman" w:cs="Times New Roman"/>
          <w:sz w:val="28"/>
          <w:szCs w:val="28"/>
          <w:lang w:eastAsia="en-US"/>
        </w:rPr>
        <w:t xml:space="preserve">По итогам 2023 года рост российской экономики составил 3,6% за счет адаптации бизнеса к новым вызовам, реализации мер по поддержке экономики, оперативно принятых Правительством Российской Федерации, Банком России, а также стабильной макроэкономической ситуации и запаса прочности, накопленного за прошедшие годы. </w:t>
      </w:r>
    </w:p>
    <w:p w:rsidR="00FC1F8A" w:rsidRPr="00F650B7" w:rsidRDefault="00FC1F8A" w:rsidP="00FC1F8A">
      <w:pPr>
        <w:pStyle w:val="ConsPlusNormal"/>
        <w:ind w:firstLine="709"/>
        <w:jc w:val="both"/>
        <w:rPr>
          <w:rFonts w:ascii="Times New Roman" w:hAnsi="Times New Roman" w:cs="Times New Roman"/>
          <w:sz w:val="28"/>
          <w:szCs w:val="28"/>
        </w:rPr>
      </w:pPr>
      <w:proofErr w:type="gramStart"/>
      <w:r w:rsidRPr="00F650B7">
        <w:rPr>
          <w:rFonts w:ascii="Times New Roman" w:hAnsi="Times New Roman" w:cs="Times New Roman"/>
          <w:sz w:val="28"/>
          <w:szCs w:val="28"/>
        </w:rPr>
        <w:t>При формировании показателей бюджетного прогноза Ленинградской области на период 2023–2034 годов было учтено влияние как традиционных, так и новых сформировавшихся в 2024 году внешних и внутренних факторов и ограничений, связанных с введением антироссийских санкций, на преодоление которых направлены совместные действия Правительства Ленинградской области, органов исполнительной власти и местного самоуправления Ленинградской области, участников бизнес–сообщества и общественных организаций.</w:t>
      </w:r>
      <w:proofErr w:type="gramEnd"/>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Бюджетный прогноз разработан на вариативной основе с учетом прогноза </w:t>
      </w:r>
      <w:r w:rsidRPr="00F650B7">
        <w:rPr>
          <w:rFonts w:ascii="Times New Roman" w:hAnsi="Times New Roman" w:cs="Times New Roman"/>
          <w:sz w:val="28"/>
          <w:szCs w:val="28"/>
        </w:rPr>
        <w:lastRenderedPageBreak/>
        <w:t>социально-экономического развития Ленинградской области на долгосрочный период:</w:t>
      </w:r>
    </w:p>
    <w:p w:rsidR="00FC1F8A" w:rsidRPr="00F650B7" w:rsidRDefault="00FC1F8A" w:rsidP="00FC1F8A">
      <w:pPr>
        <w:shd w:val="clear" w:color="auto" w:fill="FFFFFF"/>
        <w:ind w:firstLine="709"/>
        <w:jc w:val="both"/>
        <w:rPr>
          <w:sz w:val="28"/>
          <w:szCs w:val="28"/>
        </w:rPr>
      </w:pPr>
      <w:r w:rsidRPr="00F650B7">
        <w:rPr>
          <w:b/>
          <w:sz w:val="28"/>
          <w:szCs w:val="28"/>
        </w:rPr>
        <w:t>консервативный (вариант 1)</w:t>
      </w:r>
      <w:r w:rsidRPr="00F650B7">
        <w:rPr>
          <w:sz w:val="28"/>
          <w:szCs w:val="28"/>
        </w:rPr>
        <w:t xml:space="preserve"> предполагает: более низкие темпы роста мировой экономики, траектория цен на нефть и другие сырьевые товары сложится ниже, чем в базовом варианте. Темпы роста товарного экспорта будут замедляться быстрее импорта (относительно базового варианта), что скажется на сокращении торгового баланса и приведет к более сильному ослаблению курса рубля.</w:t>
      </w:r>
    </w:p>
    <w:p w:rsidR="00FC1F8A" w:rsidRPr="00F650B7" w:rsidRDefault="00FC1F8A" w:rsidP="00FC1F8A">
      <w:pPr>
        <w:shd w:val="clear" w:color="auto" w:fill="FFFFFF"/>
        <w:ind w:firstLine="709"/>
        <w:jc w:val="both"/>
        <w:rPr>
          <w:sz w:val="28"/>
          <w:szCs w:val="28"/>
        </w:rPr>
      </w:pPr>
      <w:r w:rsidRPr="00F650B7">
        <w:rPr>
          <w:b/>
          <w:sz w:val="28"/>
          <w:szCs w:val="28"/>
        </w:rPr>
        <w:t xml:space="preserve">базовый (вариант 2) </w:t>
      </w:r>
      <w:r w:rsidRPr="00F650B7">
        <w:rPr>
          <w:sz w:val="28"/>
          <w:szCs w:val="28"/>
        </w:rPr>
        <w:t xml:space="preserve">предполагает, что важнейшим фактором роста будет являться экономика предложения: расширение внутреннего производства и </w:t>
      </w:r>
      <w:proofErr w:type="spellStart"/>
      <w:r w:rsidRPr="00F650B7">
        <w:rPr>
          <w:sz w:val="28"/>
          <w:szCs w:val="28"/>
        </w:rPr>
        <w:t>импортозамещение</w:t>
      </w:r>
      <w:proofErr w:type="spellEnd"/>
      <w:r w:rsidRPr="00F650B7">
        <w:rPr>
          <w:sz w:val="28"/>
          <w:szCs w:val="28"/>
        </w:rPr>
        <w:t>, траектория развития экономики будет определяться ростом внутреннего спроса (потребительского и инвестиционного).</w:t>
      </w:r>
    </w:p>
    <w:p w:rsidR="00FC1F8A" w:rsidRPr="00F650B7" w:rsidRDefault="00FC1F8A" w:rsidP="00FC1F8A">
      <w:pPr>
        <w:shd w:val="clear" w:color="auto" w:fill="FFFFFF"/>
        <w:ind w:firstLine="709"/>
        <w:jc w:val="both"/>
        <w:rPr>
          <w:sz w:val="28"/>
          <w:szCs w:val="28"/>
        </w:rPr>
      </w:pPr>
      <w:r w:rsidRPr="00F650B7">
        <w:rPr>
          <w:sz w:val="28"/>
          <w:szCs w:val="28"/>
        </w:rPr>
        <w:t>Базовый вариант описывает наиболее вероятный сценарий развития российской экономики с учетом относительно оптимистичных изменений внешних условий.</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Достижение показателей Бюджетного прогноза сопряжено с определенными рисками:</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кардинальное изменение с февраля 2022 года </w:t>
      </w:r>
      <w:r w:rsidRPr="00F650B7">
        <w:rPr>
          <w:rFonts w:ascii="Times New Roman" w:eastAsia="Malgun Gothic" w:hAnsi="Times New Roman"/>
          <w:snapToGrid w:val="0"/>
          <w:sz w:val="28"/>
          <w:szCs w:val="28"/>
        </w:rPr>
        <w:t xml:space="preserve">геополитических условий функционирования российской экономики, связанное, в первую очередь, с принятием </w:t>
      </w:r>
      <w:r w:rsidRPr="00F650B7">
        <w:rPr>
          <w:rFonts w:ascii="Times New Roman" w:hAnsi="Times New Roman"/>
          <w:sz w:val="28"/>
          <w:szCs w:val="28"/>
          <w:lang w:eastAsia="en-US"/>
        </w:rPr>
        <w:t>отдельными иностранными государствами ряда</w:t>
      </w:r>
      <w:r w:rsidRPr="00F650B7">
        <w:rPr>
          <w:rFonts w:ascii="Times New Roman" w:eastAsia="Malgun Gothic" w:hAnsi="Times New Roman"/>
          <w:snapToGrid w:val="0"/>
          <w:sz w:val="28"/>
          <w:szCs w:val="28"/>
        </w:rPr>
        <w:t xml:space="preserve"> пакетов санкций против России;</w:t>
      </w:r>
    </w:p>
    <w:p w:rsidR="00FC1F8A" w:rsidRPr="00F650B7" w:rsidRDefault="00FC1F8A" w:rsidP="00FC1F8A">
      <w:pPr>
        <w:pStyle w:val="ConsPlusNormal"/>
        <w:ind w:firstLine="709"/>
        <w:jc w:val="both"/>
        <w:rPr>
          <w:rFonts w:ascii="Times New Roman" w:hAnsi="Times New Roman" w:cs="Times New Roman"/>
          <w:sz w:val="28"/>
          <w:szCs w:val="28"/>
        </w:rPr>
      </w:pPr>
      <w:proofErr w:type="gramStart"/>
      <w:r w:rsidRPr="00F650B7">
        <w:rPr>
          <w:rFonts w:ascii="Times New Roman" w:hAnsi="Times New Roman" w:cs="Times New Roman"/>
          <w:sz w:val="28"/>
          <w:szCs w:val="28"/>
        </w:rPr>
        <w:t>нестабильность поступления налога на прибыль организаций, в том числе в связи с отменой с 1 января 2023 года деятельности консолидированных групп налогоплательщиков (КГН), а с 1 января 2026 года - компенсационного механизма, установленного на 2023-2025 годы в связи с отменой КГН и предусматривающего централизацию на федеральном уровне большей части налога на прибыль, уплачиваемого бывшими участниками КГН, и последующее распределение указанных сумм</w:t>
      </w:r>
      <w:proofErr w:type="gramEnd"/>
      <w:r w:rsidRPr="00F650B7">
        <w:rPr>
          <w:rFonts w:ascii="Times New Roman" w:hAnsi="Times New Roman" w:cs="Times New Roman"/>
          <w:sz w:val="28"/>
          <w:szCs w:val="28"/>
        </w:rPr>
        <w:t xml:space="preserve"> между бюджетами субъектов Российской Федерации по установленным нормативам;</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внесение в бюджетное и налоговое законодательство Российской Федерации изменений, влияющих на доходную базу региональных и местных бюджетов;</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принятие на федеральном уровне нормативных правовых актов, приводящих к росту расходной части бюджетов субъектов Российской Федерации и местных бюджетов, в течение долгосрочного периода бюджетного планирования.</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В целях нивелирования выявленных рисков в Ленинградской области предпринимаются меры по следующим направлениям:</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создание благоприятного инвестиционного климата в целях обеспечения роста налогового потенциала региона (сохранение режима наибольшего благоприятствования инвесторам, трейдерам, организациям, осуществляющим деятельность по развитию индустриальных парков, заключение специальных инвестиционных контрактов, стимулирование реализации региональных инвестиционных проектов, инвестиционные налоговые вычеты, поддержка территорий опережающего развития, развитие особых экономических зон);</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поддержка малого и среднего предпринимательства, в том числе создание условий для роста числа организаций и индивидуальных предпринимателей, применяющих упрощенную и патентную систему налогообложения, а также </w:t>
      </w:r>
      <w:r w:rsidRPr="00F650B7">
        <w:rPr>
          <w:rFonts w:ascii="Times New Roman" w:hAnsi="Times New Roman" w:cs="Times New Roman"/>
          <w:sz w:val="28"/>
          <w:szCs w:val="28"/>
        </w:rPr>
        <w:lastRenderedPageBreak/>
        <w:t>создание стимулов для перехода граждан к применению специального налогового режима "Налог на профессиональный доход";</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дальнейшее развитие социальной инфраструктуры, в том числе в целях привлечения в регион населения в трудоспособном возрасте.</w:t>
      </w:r>
    </w:p>
    <w:p w:rsidR="00FF0B04" w:rsidRPr="00F650B7" w:rsidRDefault="00FF0B04" w:rsidP="00FF0B04">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Кроме того, с 1 января 2025 года в соответствии с пунктом 1 статьи 418.1 Налогового кодекса Российской Федерации и нормативными правовыми актами представительных органов муниципальных образований Ленинградской области на территории 48 муниципальных образований введен туристический налог. С 1 января 2026 года количество муниципальных образований, принявших решения о введении туристического налога, увеличилось до 71.</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Бюджетный прогноз сформирован по принципу сбалансированности бюджета: объем предусмотренных бюджетом расходов соответствует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В </w:t>
      </w:r>
      <w:hyperlink w:anchor="P71">
        <w:r w:rsidRPr="00F650B7">
          <w:rPr>
            <w:rFonts w:ascii="Times New Roman" w:hAnsi="Times New Roman" w:cs="Times New Roman"/>
            <w:sz w:val="28"/>
            <w:szCs w:val="28"/>
          </w:rPr>
          <w:t>разделах 2</w:t>
        </w:r>
      </w:hyperlink>
      <w:r w:rsidRPr="00F650B7">
        <w:rPr>
          <w:rFonts w:ascii="Times New Roman" w:hAnsi="Times New Roman" w:cs="Times New Roman"/>
          <w:sz w:val="28"/>
          <w:szCs w:val="28"/>
        </w:rPr>
        <w:t xml:space="preserve"> и </w:t>
      </w:r>
      <w:hyperlink w:anchor="P416">
        <w:r w:rsidRPr="00F650B7">
          <w:rPr>
            <w:rFonts w:ascii="Times New Roman" w:hAnsi="Times New Roman" w:cs="Times New Roman"/>
            <w:sz w:val="28"/>
            <w:szCs w:val="28"/>
          </w:rPr>
          <w:t>3</w:t>
        </w:r>
      </w:hyperlink>
      <w:r w:rsidRPr="00F650B7">
        <w:rPr>
          <w:rFonts w:ascii="Times New Roman" w:hAnsi="Times New Roman" w:cs="Times New Roman"/>
          <w:sz w:val="28"/>
          <w:szCs w:val="28"/>
        </w:rPr>
        <w:t xml:space="preserve"> показатели, характеризующие параметры консолидированного и областного бюджетов Ленинградской области на период до 2034 года, в том числе структуру и динамику доходной и расходной части, представлены по варианту 2 (базовому) прогноза социально-экономического развития Ленинградской области на долгосрочный период.</w:t>
      </w:r>
    </w:p>
    <w:p w:rsidR="00D70A87" w:rsidRPr="00F650B7" w:rsidRDefault="00D70A87" w:rsidP="00D16555">
      <w:pPr>
        <w:pStyle w:val="ConsPlusNormal"/>
        <w:ind w:firstLine="709"/>
        <w:rPr>
          <w:highlight w:val="yellow"/>
        </w:rPr>
      </w:pPr>
    </w:p>
    <w:p w:rsidR="00D70A87" w:rsidRPr="00F650B7" w:rsidRDefault="00D70A87" w:rsidP="00D16555">
      <w:pPr>
        <w:pStyle w:val="ConsPlusTitle"/>
        <w:jc w:val="center"/>
        <w:outlineLvl w:val="1"/>
        <w:rPr>
          <w:rFonts w:ascii="Times New Roman" w:hAnsi="Times New Roman" w:cs="Times New Roman"/>
          <w:sz w:val="28"/>
          <w:szCs w:val="28"/>
        </w:rPr>
      </w:pPr>
      <w:bookmarkStart w:id="1" w:name="P71"/>
      <w:bookmarkEnd w:id="1"/>
      <w:r w:rsidRPr="00F650B7">
        <w:rPr>
          <w:rFonts w:ascii="Times New Roman" w:hAnsi="Times New Roman" w:cs="Times New Roman"/>
          <w:sz w:val="28"/>
          <w:szCs w:val="28"/>
        </w:rPr>
        <w:t xml:space="preserve">2. Прогноз основных параметров </w:t>
      </w:r>
      <w:proofErr w:type="gramStart"/>
      <w:r w:rsidRPr="00F650B7">
        <w:rPr>
          <w:rFonts w:ascii="Times New Roman" w:hAnsi="Times New Roman" w:cs="Times New Roman"/>
          <w:sz w:val="28"/>
          <w:szCs w:val="28"/>
        </w:rPr>
        <w:t>консолидированного</w:t>
      </w:r>
      <w:proofErr w:type="gramEnd"/>
    </w:p>
    <w:p w:rsidR="00D70A87" w:rsidRPr="00F650B7" w:rsidRDefault="00D70A87" w:rsidP="00D16555">
      <w:pPr>
        <w:pStyle w:val="ConsPlusTitle"/>
        <w:jc w:val="center"/>
        <w:rPr>
          <w:rFonts w:ascii="Times New Roman" w:hAnsi="Times New Roman" w:cs="Times New Roman"/>
          <w:sz w:val="28"/>
          <w:szCs w:val="28"/>
        </w:rPr>
      </w:pPr>
      <w:r w:rsidRPr="00F650B7">
        <w:rPr>
          <w:rFonts w:ascii="Times New Roman" w:hAnsi="Times New Roman" w:cs="Times New Roman"/>
          <w:sz w:val="28"/>
          <w:szCs w:val="28"/>
        </w:rPr>
        <w:t xml:space="preserve">и </w:t>
      </w:r>
      <w:proofErr w:type="gramStart"/>
      <w:r w:rsidRPr="00F650B7">
        <w:rPr>
          <w:rFonts w:ascii="Times New Roman" w:hAnsi="Times New Roman" w:cs="Times New Roman"/>
          <w:sz w:val="28"/>
          <w:szCs w:val="28"/>
        </w:rPr>
        <w:t>областного</w:t>
      </w:r>
      <w:proofErr w:type="gramEnd"/>
      <w:r w:rsidRPr="00F650B7">
        <w:rPr>
          <w:rFonts w:ascii="Times New Roman" w:hAnsi="Times New Roman" w:cs="Times New Roman"/>
          <w:sz w:val="28"/>
          <w:szCs w:val="28"/>
        </w:rPr>
        <w:t xml:space="preserve"> бюджетов Ленинградской области</w:t>
      </w:r>
    </w:p>
    <w:p w:rsidR="00D70A87" w:rsidRPr="00F650B7" w:rsidRDefault="00D70A87" w:rsidP="00D16555">
      <w:pPr>
        <w:pStyle w:val="ConsPlusTitle"/>
        <w:jc w:val="center"/>
        <w:rPr>
          <w:rFonts w:ascii="Times New Roman" w:hAnsi="Times New Roman" w:cs="Times New Roman"/>
          <w:sz w:val="28"/>
          <w:szCs w:val="28"/>
        </w:rPr>
      </w:pPr>
      <w:r w:rsidRPr="00F650B7">
        <w:rPr>
          <w:rFonts w:ascii="Times New Roman" w:hAnsi="Times New Roman" w:cs="Times New Roman"/>
          <w:sz w:val="28"/>
          <w:szCs w:val="28"/>
        </w:rPr>
        <w:t>на период до 20</w:t>
      </w:r>
      <w:r w:rsidR="00F03146"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года</w:t>
      </w:r>
    </w:p>
    <w:p w:rsidR="00D70A87" w:rsidRPr="00F650B7" w:rsidRDefault="00D70A87" w:rsidP="00D16555">
      <w:pPr>
        <w:pStyle w:val="ConsPlusNormal"/>
        <w:ind w:firstLine="709"/>
        <w:rPr>
          <w:highlight w:val="yellow"/>
        </w:rPr>
      </w:pPr>
    </w:p>
    <w:p w:rsidR="00FC1F8A" w:rsidRPr="00F650B7" w:rsidRDefault="00FC1F8A" w:rsidP="00FC1F8A">
      <w:pPr>
        <w:pStyle w:val="ConsPlusNormal"/>
        <w:ind w:firstLine="709"/>
        <w:jc w:val="both"/>
        <w:rPr>
          <w:rFonts w:ascii="Times New Roman" w:hAnsi="Times New Roman" w:cs="Times New Roman"/>
          <w:sz w:val="28"/>
          <w:szCs w:val="28"/>
        </w:rPr>
      </w:pPr>
      <w:proofErr w:type="gramStart"/>
      <w:r w:rsidRPr="00F650B7">
        <w:rPr>
          <w:rFonts w:ascii="Times New Roman" w:hAnsi="Times New Roman" w:cs="Times New Roman"/>
          <w:sz w:val="28"/>
          <w:szCs w:val="28"/>
        </w:rPr>
        <w:t>Расчеты объемов поступлений налоговых и неналоговых доходов в консолидированный и областной бюджеты Ленинградской области в рамках составления Бюджетного прогноза основаны на показателях долгосрочного прогноза социально-экономического развития Ленинградской области на период до 2035 года, характеризующих как общие тенденции развития экономики (объем валового регионального продукта, динамика индекса промышленного производства, объем инвестиций в основной капитал и т.д.), так и изменение макроэкономических показателей</w:t>
      </w:r>
      <w:proofErr w:type="gramEnd"/>
      <w:r w:rsidRPr="00F650B7">
        <w:rPr>
          <w:rFonts w:ascii="Times New Roman" w:hAnsi="Times New Roman" w:cs="Times New Roman"/>
          <w:sz w:val="28"/>
          <w:szCs w:val="28"/>
        </w:rPr>
        <w:t>, оказывающих непосредственное влияние на объемы поступлений по основным доходным источникам бюджета:</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темп роста прибыли прибыльных организаций;</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темп роста фонда заработной платы;</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темп роста амортизационных отчислений.</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Из основных доходных источников бюджета наиболее сложным для долгосрочного прогнозирования является налог на прибыль организаций.</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На объем поступлений по данному доходному источнику оказывают влияние различные внешние факторы, основным из которых является изменение геополитической ситуации, приведшее к нарушению сложившихся экономических связей, транспортной логистики и, как следствие, к ухудшению финансового положения отдельных налогоплательщиков Ленинградской области.</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lastRenderedPageBreak/>
        <w:t>В складывающихся экономических реалиях существенным колебаниям подвержена цена на нефть и курс иностранных валют, которые также оказывают влияние на объем налога на прибыль.</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 учетом эффективной реализации всего комплекса мер по поддержке экономики, в долгосрочной перспективе ожидается стабилизация экономической ситуации в регионе, что позволит налогоплательщикам Ленинградской области улучшить финансовое состояние и увеличить объемы налога на прибыль организаций по сравнению с уровнем 2022 года.</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Таким образом, долгосрочный прогноз по данному доходному источнику рассчитан исходя из прогнозируемого темпа роста, характеризующего темп роста прибыли прибыльных организаций, а также с учетом изменений федерального законодательства, в том числе в части отмены компенсационного механизма по КГН. При этом у регионального бюджета имеются резервы пополнения доходной базы в результате увеличения налоговой ставки по налогу на прибыль организаций, подлежащей зачислению в бюджеты субъектов Российской Федерации, на один процентный пункт с 2031 года. </w:t>
      </w:r>
    </w:p>
    <w:p w:rsidR="00FC1F8A" w:rsidRPr="00F650B7" w:rsidRDefault="00FC1F8A" w:rsidP="00FC1F8A">
      <w:pPr>
        <w:ind w:firstLine="709"/>
        <w:jc w:val="both"/>
        <w:rPr>
          <w:rFonts w:eastAsiaTheme="minorEastAsia"/>
          <w:sz w:val="28"/>
          <w:szCs w:val="28"/>
        </w:rPr>
      </w:pPr>
      <w:proofErr w:type="gramStart"/>
      <w:r w:rsidRPr="00F650B7">
        <w:rPr>
          <w:rFonts w:eastAsiaTheme="minorEastAsia"/>
          <w:sz w:val="28"/>
          <w:szCs w:val="28"/>
        </w:rPr>
        <w:t>По налогу на доходы физических лиц расчет долгосрочного прогноза поступлений осуществлен исходя из показателей прогноза социально-экономического развития Ленинградской области на очередной финансовый год и плановый период (темп роста фонд заработной платы), динамики налоговой базы по налогу, сложившейся за предыдущие периоды, динамики фактических поступлений по налогу, динамики налоговых вычетов, а также налоговых ставок, льгот и преференции, установленных главой 23 Налогового кодекса</w:t>
      </w:r>
      <w:proofErr w:type="gramEnd"/>
      <w:r w:rsidRPr="00F650B7">
        <w:rPr>
          <w:rFonts w:eastAsiaTheme="minorEastAsia"/>
          <w:sz w:val="28"/>
          <w:szCs w:val="28"/>
        </w:rPr>
        <w:t xml:space="preserve"> Российской Федерации.</w:t>
      </w:r>
    </w:p>
    <w:p w:rsidR="00FC1F8A" w:rsidRPr="00F650B7" w:rsidRDefault="00FC1F8A" w:rsidP="00FC1F8A">
      <w:pPr>
        <w:ind w:firstLine="709"/>
        <w:jc w:val="both"/>
        <w:rPr>
          <w:sz w:val="28"/>
          <w:szCs w:val="28"/>
        </w:rPr>
      </w:pPr>
      <w:proofErr w:type="gramStart"/>
      <w:r w:rsidRPr="00F650B7">
        <w:rPr>
          <w:rFonts w:eastAsiaTheme="minorEastAsia"/>
          <w:sz w:val="28"/>
          <w:szCs w:val="28"/>
        </w:rPr>
        <w:t>Прогнозируемый объем поступлений налога на имущество организаций рассчитан с учетом показателей прогноза социально-экономического развития Ленинградской области на очередной финансовый год и плановый период (среднегодовая стоимость амортизируемого имущества, амортизация), динамики налоговой базы, сложившейся в предыдущие периоды, налоговых ставок и налоговых льгот, установленных главой 30 Налогового кодекса Российской Федерации и нормативными правовыми актами Ленинградской области.</w:t>
      </w:r>
      <w:proofErr w:type="gramEnd"/>
      <w:r w:rsidRPr="00F650B7">
        <w:rPr>
          <w:rFonts w:eastAsiaTheme="minorEastAsia"/>
          <w:sz w:val="28"/>
          <w:szCs w:val="28"/>
        </w:rPr>
        <w:t xml:space="preserve"> </w:t>
      </w:r>
      <w:r w:rsidRPr="00F650B7">
        <w:rPr>
          <w:sz w:val="28"/>
          <w:szCs w:val="28"/>
        </w:rPr>
        <w:t>Кроме того, при расчете прогноза по налогу на имущество организаций учитывалось окончание действия льготного периода по уплате налога на имущество отдельными инвесторами - в соответствии с договорами, заключенными с Правительством Ленинградской области.</w:t>
      </w:r>
    </w:p>
    <w:p w:rsidR="00FC1F8A" w:rsidRPr="00F650B7" w:rsidRDefault="00FC1F8A" w:rsidP="00FC1F8A">
      <w:pPr>
        <w:pStyle w:val="ConsPlusNormal"/>
        <w:ind w:firstLine="709"/>
        <w:jc w:val="both"/>
        <w:rPr>
          <w:rFonts w:ascii="Times New Roman" w:hAnsi="Times New Roman" w:cs="Times New Roman"/>
          <w:sz w:val="28"/>
          <w:szCs w:val="28"/>
        </w:rPr>
      </w:pPr>
      <w:proofErr w:type="gramStart"/>
      <w:r w:rsidRPr="00F650B7">
        <w:rPr>
          <w:rFonts w:ascii="Times New Roman" w:hAnsi="Times New Roman" w:cs="Times New Roman"/>
          <w:sz w:val="28"/>
          <w:szCs w:val="28"/>
        </w:rPr>
        <w:t>По акцизам на нефтепродукты и алкогольную продукцию расчет поступлений на долгосрочный период осуществлен с учетом действующих ставок акцизов по подакцизной продукции, а также установленных бюджетным законодательством Российской Федерации нормативов распределения доходов от уплаты акцизов между федеральным бюджетом и бюджетами субъектов Российской Федерации.</w:t>
      </w:r>
      <w:proofErr w:type="gramEnd"/>
      <w:r w:rsidRPr="00F650B7">
        <w:rPr>
          <w:rFonts w:ascii="Times New Roman" w:hAnsi="Times New Roman" w:cs="Times New Roman"/>
          <w:sz w:val="28"/>
          <w:szCs w:val="28"/>
        </w:rPr>
        <w:t xml:space="preserve"> Следует отметить, что внесенные на федеральном уровне изменения в порядок исчисления акцизов позволят повысить их роль в формировании доходной части консолидированного бюджета Ленинградской области - как в среднесрочной, так и в долгосрочной перспективе.</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Объемы поступлений по остальным налоговым доходам, а также неналоговым доходам на долгосрочный период в основном рассчитаны с применением ежегодной </w:t>
      </w:r>
      <w:r w:rsidRPr="00F650B7">
        <w:rPr>
          <w:rFonts w:ascii="Times New Roman" w:hAnsi="Times New Roman" w:cs="Times New Roman"/>
          <w:sz w:val="28"/>
          <w:szCs w:val="28"/>
        </w:rPr>
        <w:lastRenderedPageBreak/>
        <w:t>динамики роста, учтенной при формировании доходной части консолидированного и областного бюджетов на среднесрочный период.</w:t>
      </w:r>
    </w:p>
    <w:p w:rsidR="000921C2" w:rsidRPr="00F650B7" w:rsidRDefault="000921C2" w:rsidP="000921C2">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Расчеты объемов безвозмездных поступлений в </w:t>
      </w:r>
      <w:proofErr w:type="gramStart"/>
      <w:r w:rsidRPr="00F650B7">
        <w:rPr>
          <w:rFonts w:ascii="Times New Roman" w:hAnsi="Times New Roman" w:cs="Times New Roman"/>
          <w:sz w:val="28"/>
          <w:szCs w:val="28"/>
        </w:rPr>
        <w:t>консолидированный</w:t>
      </w:r>
      <w:proofErr w:type="gramEnd"/>
      <w:r w:rsidRPr="00F650B7">
        <w:rPr>
          <w:rFonts w:ascii="Times New Roman" w:hAnsi="Times New Roman" w:cs="Times New Roman"/>
          <w:sz w:val="28"/>
          <w:szCs w:val="28"/>
        </w:rPr>
        <w:t xml:space="preserve"> и областной бюджеты Ленинградской области в рамках составления Бюджетного прогноза основаны на </w:t>
      </w:r>
      <w:r w:rsidR="000A3637" w:rsidRPr="00F650B7">
        <w:rPr>
          <w:rFonts w:ascii="Times New Roman" w:hAnsi="Times New Roman" w:cs="Times New Roman"/>
          <w:sz w:val="28"/>
          <w:szCs w:val="28"/>
        </w:rPr>
        <w:t>оценке их поступлений в прошлые периоды.</w:t>
      </w:r>
    </w:p>
    <w:p w:rsidR="000921C2" w:rsidRPr="00F650B7" w:rsidRDefault="000921C2" w:rsidP="000921C2">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При формировании </w:t>
      </w:r>
      <w:r w:rsidR="00207416" w:rsidRPr="00F650B7">
        <w:rPr>
          <w:rFonts w:ascii="Times New Roman" w:hAnsi="Times New Roman" w:cs="Times New Roman"/>
          <w:sz w:val="28"/>
          <w:szCs w:val="28"/>
        </w:rPr>
        <w:t>Б</w:t>
      </w:r>
      <w:r w:rsidRPr="00F650B7">
        <w:rPr>
          <w:rFonts w:ascii="Times New Roman" w:hAnsi="Times New Roman" w:cs="Times New Roman"/>
          <w:sz w:val="28"/>
          <w:szCs w:val="28"/>
        </w:rPr>
        <w:t>юджетного прогноза темпы роста объемов безвозмездных поступлений из федерального бюджета, начиная с 202</w:t>
      </w:r>
      <w:r w:rsidR="00466C4D" w:rsidRPr="00F650B7">
        <w:rPr>
          <w:rFonts w:ascii="Times New Roman" w:hAnsi="Times New Roman" w:cs="Times New Roman"/>
          <w:sz w:val="28"/>
          <w:szCs w:val="28"/>
        </w:rPr>
        <w:t>9</w:t>
      </w:r>
      <w:r w:rsidRPr="00F650B7">
        <w:rPr>
          <w:rFonts w:ascii="Times New Roman" w:hAnsi="Times New Roman" w:cs="Times New Roman"/>
          <w:sz w:val="28"/>
          <w:szCs w:val="28"/>
        </w:rPr>
        <w:t xml:space="preserve"> года, рассчитаны на уровне 202</w:t>
      </w:r>
      <w:r w:rsidR="00466C4D" w:rsidRPr="00F650B7">
        <w:rPr>
          <w:rFonts w:ascii="Times New Roman" w:hAnsi="Times New Roman" w:cs="Times New Roman"/>
          <w:sz w:val="28"/>
          <w:szCs w:val="28"/>
        </w:rPr>
        <w:t>8</w:t>
      </w:r>
      <w:r w:rsidRPr="00F650B7">
        <w:rPr>
          <w:rFonts w:ascii="Times New Roman" w:hAnsi="Times New Roman" w:cs="Times New Roman"/>
          <w:sz w:val="28"/>
          <w:szCs w:val="28"/>
        </w:rPr>
        <w:t xml:space="preserve"> года, за исключением субвенций, к которым применен индекс потребительских цен, поступление дотаций не планируется. Кроме того, ожидаются поступления </w:t>
      </w:r>
      <w:r w:rsidR="00616745" w:rsidRPr="00F650B7">
        <w:rPr>
          <w:rFonts w:ascii="Times New Roman" w:hAnsi="Times New Roman" w:cs="Times New Roman"/>
          <w:sz w:val="28"/>
          <w:szCs w:val="28"/>
        </w:rPr>
        <w:t xml:space="preserve">средств </w:t>
      </w:r>
      <w:r w:rsidRPr="00F650B7">
        <w:rPr>
          <w:rFonts w:ascii="Times New Roman" w:hAnsi="Times New Roman" w:cs="Times New Roman"/>
          <w:sz w:val="28"/>
          <w:szCs w:val="28"/>
        </w:rPr>
        <w:t>из бюджета Санкт-Петербурга</w:t>
      </w:r>
      <w:r w:rsidR="00BF65A9" w:rsidRPr="00F650B7">
        <w:rPr>
          <w:rFonts w:ascii="Times New Roman" w:hAnsi="Times New Roman" w:cs="Times New Roman"/>
          <w:sz w:val="28"/>
          <w:szCs w:val="28"/>
        </w:rPr>
        <w:t>, к которым также применен индекс потребительских цен</w:t>
      </w:r>
      <w:r w:rsidRPr="00F650B7">
        <w:rPr>
          <w:rFonts w:ascii="Times New Roman" w:hAnsi="Times New Roman" w:cs="Times New Roman"/>
          <w:sz w:val="28"/>
          <w:szCs w:val="28"/>
        </w:rPr>
        <w:t>.</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Основные параметры областного бюджета Ленинградской области на период до 2034 года представлены в </w:t>
      </w:r>
      <w:hyperlink w:anchor="P467">
        <w:r w:rsidRPr="00F650B7">
          <w:rPr>
            <w:rFonts w:ascii="Times New Roman" w:hAnsi="Times New Roman" w:cs="Times New Roman"/>
            <w:sz w:val="28"/>
            <w:szCs w:val="28"/>
          </w:rPr>
          <w:t>приложении 1</w:t>
        </w:r>
      </w:hyperlink>
      <w:r w:rsidRPr="00F650B7">
        <w:rPr>
          <w:rFonts w:ascii="Times New Roman" w:hAnsi="Times New Roman" w:cs="Times New Roman"/>
          <w:sz w:val="28"/>
          <w:szCs w:val="28"/>
        </w:rPr>
        <w:t xml:space="preserve"> к Бюджетному прогнозу.</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Структура и динамика доходной части областного бюджета Ленинградской области за период 2023-2034 годов характеризуются следующими показателями:</w:t>
      </w:r>
    </w:p>
    <w:p w:rsidR="00FC1F8A" w:rsidRPr="00F650B7" w:rsidRDefault="00FC1F8A" w:rsidP="00FC1F8A">
      <w:pPr>
        <w:pStyle w:val="ConsPlusNormal"/>
        <w:ind w:firstLine="709"/>
        <w:jc w:val="both"/>
        <w:rPr>
          <w:rFonts w:ascii="Times New Roman" w:hAnsi="Times New Roman" w:cs="Times New Roman"/>
          <w:sz w:val="28"/>
          <w:szCs w:val="28"/>
          <w:highlight w:val="yellow"/>
        </w:rPr>
      </w:pPr>
    </w:p>
    <w:p w:rsidR="00FC1F8A" w:rsidRPr="00F650B7" w:rsidRDefault="00FC1F8A" w:rsidP="00FC1F8A">
      <w:pPr>
        <w:pStyle w:val="ConsPlusNormal"/>
        <w:ind w:firstLine="709"/>
        <w:jc w:val="right"/>
        <w:rPr>
          <w:rFonts w:ascii="Times New Roman" w:hAnsi="Times New Roman" w:cs="Times New Roman"/>
          <w:szCs w:val="20"/>
        </w:rPr>
      </w:pPr>
      <w:r w:rsidRPr="00F650B7">
        <w:rPr>
          <w:rFonts w:ascii="Times New Roman" w:hAnsi="Times New Roman" w:cs="Times New Roman"/>
          <w:szCs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395"/>
        <w:gridCol w:w="1559"/>
        <w:gridCol w:w="1490"/>
        <w:gridCol w:w="1560"/>
        <w:gridCol w:w="1842"/>
      </w:tblGrid>
      <w:tr w:rsidR="00F650B7" w:rsidRPr="00F650B7" w:rsidTr="006D7147">
        <w:tc>
          <w:tcPr>
            <w:tcW w:w="2330"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Показатель</w:t>
            </w:r>
          </w:p>
        </w:tc>
        <w:tc>
          <w:tcPr>
            <w:tcW w:w="1395"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20</w:t>
            </w:r>
            <w:r w:rsidRPr="00F650B7">
              <w:rPr>
                <w:rFonts w:ascii="Times New Roman" w:hAnsi="Times New Roman" w:cs="Times New Roman"/>
                <w:b/>
                <w:szCs w:val="20"/>
                <w:lang w:val="en-US"/>
              </w:rPr>
              <w:t>23</w:t>
            </w:r>
            <w:r w:rsidRPr="00F650B7">
              <w:rPr>
                <w:rFonts w:ascii="Times New Roman" w:hAnsi="Times New Roman" w:cs="Times New Roman"/>
                <w:b/>
                <w:szCs w:val="20"/>
              </w:rPr>
              <w:t xml:space="preserve"> год</w:t>
            </w:r>
          </w:p>
        </w:tc>
        <w:tc>
          <w:tcPr>
            <w:tcW w:w="1559"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Удельный вес в общем объеме доходов, %</w:t>
            </w:r>
          </w:p>
        </w:tc>
        <w:tc>
          <w:tcPr>
            <w:tcW w:w="1490"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20</w:t>
            </w:r>
            <w:r w:rsidRPr="00F650B7">
              <w:rPr>
                <w:rFonts w:ascii="Times New Roman" w:hAnsi="Times New Roman" w:cs="Times New Roman"/>
                <w:b/>
                <w:szCs w:val="20"/>
                <w:lang w:val="en-US"/>
              </w:rPr>
              <w:t>34</w:t>
            </w:r>
            <w:r w:rsidRPr="00F650B7">
              <w:rPr>
                <w:rFonts w:ascii="Times New Roman" w:hAnsi="Times New Roman" w:cs="Times New Roman"/>
                <w:b/>
                <w:szCs w:val="20"/>
              </w:rPr>
              <w:t xml:space="preserve"> год</w:t>
            </w:r>
          </w:p>
        </w:tc>
        <w:tc>
          <w:tcPr>
            <w:tcW w:w="1560"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Удельный вес в общем объеме доходов, %</w:t>
            </w:r>
          </w:p>
        </w:tc>
        <w:tc>
          <w:tcPr>
            <w:tcW w:w="1842"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Динамика</w:t>
            </w:r>
          </w:p>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 за период</w:t>
            </w:r>
          </w:p>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 20</w:t>
            </w:r>
            <w:r w:rsidRPr="00F650B7">
              <w:rPr>
                <w:rFonts w:ascii="Times New Roman" w:hAnsi="Times New Roman" w:cs="Times New Roman"/>
                <w:b/>
                <w:szCs w:val="20"/>
                <w:lang w:val="en-US"/>
              </w:rPr>
              <w:t>23</w:t>
            </w:r>
            <w:r w:rsidRPr="00F650B7">
              <w:rPr>
                <w:rFonts w:ascii="Times New Roman" w:hAnsi="Times New Roman" w:cs="Times New Roman"/>
                <w:b/>
                <w:szCs w:val="20"/>
              </w:rPr>
              <w:t>-20</w:t>
            </w:r>
            <w:r w:rsidRPr="00F650B7">
              <w:rPr>
                <w:rFonts w:ascii="Times New Roman" w:hAnsi="Times New Roman" w:cs="Times New Roman"/>
                <w:b/>
                <w:szCs w:val="20"/>
                <w:lang w:val="en-US"/>
              </w:rPr>
              <w:t>34</w:t>
            </w:r>
            <w:r w:rsidRPr="00F650B7">
              <w:rPr>
                <w:rFonts w:ascii="Times New Roman" w:hAnsi="Times New Roman" w:cs="Times New Roman"/>
                <w:b/>
                <w:szCs w:val="20"/>
              </w:rPr>
              <w:t xml:space="preserve"> годов, %</w:t>
            </w:r>
          </w:p>
        </w:tc>
      </w:tr>
      <w:tr w:rsidR="00F650B7" w:rsidRPr="00F650B7" w:rsidTr="00DB2B16">
        <w:tc>
          <w:tcPr>
            <w:tcW w:w="2330" w:type="dxa"/>
          </w:tcPr>
          <w:p w:rsidR="00FC1F8A" w:rsidRPr="00F650B7" w:rsidRDefault="00FC1F8A" w:rsidP="006D7147">
            <w:pPr>
              <w:pStyle w:val="ConsPlusNormal"/>
              <w:rPr>
                <w:rFonts w:ascii="Times New Roman" w:hAnsi="Times New Roman" w:cs="Times New Roman"/>
                <w:b/>
                <w:szCs w:val="20"/>
              </w:rPr>
            </w:pPr>
            <w:r w:rsidRPr="00F650B7">
              <w:rPr>
                <w:rFonts w:ascii="Times New Roman" w:hAnsi="Times New Roman" w:cs="Times New Roman"/>
                <w:b/>
                <w:szCs w:val="20"/>
              </w:rPr>
              <w:t>Доходы</w:t>
            </w:r>
          </w:p>
        </w:tc>
        <w:tc>
          <w:tcPr>
            <w:tcW w:w="1395" w:type="dxa"/>
            <w:vAlign w:val="center"/>
          </w:tcPr>
          <w:p w:rsidR="00FC1F8A" w:rsidRPr="00F650B7" w:rsidRDefault="00FC1F8A" w:rsidP="006D7147">
            <w:pPr>
              <w:jc w:val="right"/>
              <w:rPr>
                <w:b/>
                <w:bCs/>
                <w:sz w:val="20"/>
                <w:szCs w:val="20"/>
              </w:rPr>
            </w:pPr>
            <w:r w:rsidRPr="00F650B7">
              <w:rPr>
                <w:b/>
                <w:bCs/>
                <w:sz w:val="20"/>
                <w:szCs w:val="20"/>
              </w:rPr>
              <w:t>252 484 025,7</w:t>
            </w:r>
          </w:p>
        </w:tc>
        <w:tc>
          <w:tcPr>
            <w:tcW w:w="1559" w:type="dxa"/>
            <w:vAlign w:val="center"/>
          </w:tcPr>
          <w:p w:rsidR="00FC1F8A" w:rsidRPr="00F650B7" w:rsidRDefault="00FC1F8A" w:rsidP="006D7147">
            <w:pPr>
              <w:jc w:val="right"/>
              <w:rPr>
                <w:b/>
                <w:bCs/>
                <w:sz w:val="20"/>
                <w:szCs w:val="20"/>
              </w:rPr>
            </w:pPr>
            <w:r w:rsidRPr="00F650B7">
              <w:rPr>
                <w:b/>
                <w:bCs/>
                <w:sz w:val="20"/>
                <w:szCs w:val="20"/>
              </w:rPr>
              <w:t>100,0</w:t>
            </w:r>
          </w:p>
        </w:tc>
        <w:tc>
          <w:tcPr>
            <w:tcW w:w="1490" w:type="dxa"/>
            <w:shd w:val="clear" w:color="auto" w:fill="auto"/>
            <w:vAlign w:val="center"/>
          </w:tcPr>
          <w:p w:rsidR="00FC1F8A" w:rsidRPr="00F650B7" w:rsidRDefault="00FC1F8A" w:rsidP="006D7147">
            <w:pPr>
              <w:jc w:val="right"/>
              <w:rPr>
                <w:b/>
                <w:bCs/>
                <w:sz w:val="20"/>
                <w:szCs w:val="20"/>
              </w:rPr>
            </w:pPr>
            <w:r w:rsidRPr="00F650B7">
              <w:rPr>
                <w:b/>
                <w:bCs/>
                <w:sz w:val="20"/>
                <w:szCs w:val="20"/>
              </w:rPr>
              <w:t>459 366 402,5</w:t>
            </w:r>
          </w:p>
        </w:tc>
        <w:tc>
          <w:tcPr>
            <w:tcW w:w="1560" w:type="dxa"/>
            <w:shd w:val="clear" w:color="auto" w:fill="auto"/>
            <w:vAlign w:val="center"/>
          </w:tcPr>
          <w:p w:rsidR="00FC1F8A" w:rsidRPr="00F650B7" w:rsidRDefault="00FC1F8A" w:rsidP="006D7147">
            <w:pPr>
              <w:jc w:val="right"/>
              <w:rPr>
                <w:b/>
                <w:bCs/>
                <w:sz w:val="20"/>
                <w:szCs w:val="20"/>
              </w:rPr>
            </w:pPr>
            <w:r w:rsidRPr="00F650B7">
              <w:rPr>
                <w:b/>
                <w:bCs/>
                <w:sz w:val="20"/>
                <w:szCs w:val="20"/>
              </w:rPr>
              <w:t>100,0</w:t>
            </w:r>
          </w:p>
        </w:tc>
        <w:tc>
          <w:tcPr>
            <w:tcW w:w="1842" w:type="dxa"/>
            <w:shd w:val="clear" w:color="auto" w:fill="auto"/>
            <w:vAlign w:val="center"/>
          </w:tcPr>
          <w:p w:rsidR="00FC1F8A" w:rsidRPr="00F650B7" w:rsidRDefault="00FC1F8A" w:rsidP="006D7147">
            <w:pPr>
              <w:jc w:val="right"/>
              <w:rPr>
                <w:b/>
                <w:bCs/>
                <w:sz w:val="20"/>
                <w:szCs w:val="20"/>
              </w:rPr>
            </w:pPr>
            <w:r w:rsidRPr="00F650B7">
              <w:rPr>
                <w:b/>
                <w:bCs/>
                <w:sz w:val="20"/>
                <w:szCs w:val="20"/>
              </w:rPr>
              <w:t>181,9</w:t>
            </w:r>
          </w:p>
        </w:tc>
      </w:tr>
      <w:tr w:rsidR="00F650B7" w:rsidRPr="00F650B7" w:rsidTr="00DB2B16">
        <w:tc>
          <w:tcPr>
            <w:tcW w:w="2330"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1. Налоговые и неналоговые доходы</w:t>
            </w:r>
          </w:p>
        </w:tc>
        <w:tc>
          <w:tcPr>
            <w:tcW w:w="1395" w:type="dxa"/>
            <w:vAlign w:val="center"/>
          </w:tcPr>
          <w:p w:rsidR="00FC1F8A" w:rsidRPr="00F650B7" w:rsidRDefault="00FC1F8A" w:rsidP="006D7147">
            <w:pPr>
              <w:jc w:val="right"/>
              <w:rPr>
                <w:sz w:val="20"/>
                <w:szCs w:val="20"/>
              </w:rPr>
            </w:pPr>
            <w:r w:rsidRPr="00F650B7">
              <w:rPr>
                <w:sz w:val="20"/>
                <w:szCs w:val="20"/>
              </w:rPr>
              <w:t>228 711 887,9</w:t>
            </w:r>
          </w:p>
        </w:tc>
        <w:tc>
          <w:tcPr>
            <w:tcW w:w="1559" w:type="dxa"/>
            <w:vAlign w:val="center"/>
          </w:tcPr>
          <w:p w:rsidR="00FC1F8A" w:rsidRPr="00F650B7" w:rsidRDefault="00FC1F8A" w:rsidP="006D7147">
            <w:pPr>
              <w:jc w:val="right"/>
              <w:rPr>
                <w:sz w:val="20"/>
                <w:szCs w:val="20"/>
              </w:rPr>
            </w:pPr>
            <w:r w:rsidRPr="00F650B7">
              <w:rPr>
                <w:sz w:val="20"/>
                <w:szCs w:val="20"/>
              </w:rPr>
              <w:t>90,6</w:t>
            </w:r>
          </w:p>
        </w:tc>
        <w:tc>
          <w:tcPr>
            <w:tcW w:w="1490" w:type="dxa"/>
            <w:shd w:val="clear" w:color="auto" w:fill="auto"/>
            <w:vAlign w:val="center"/>
          </w:tcPr>
          <w:p w:rsidR="00FC1F8A" w:rsidRPr="00F650B7" w:rsidRDefault="00FC1F8A" w:rsidP="006D7147">
            <w:pPr>
              <w:jc w:val="right"/>
              <w:rPr>
                <w:sz w:val="20"/>
                <w:szCs w:val="20"/>
              </w:rPr>
            </w:pPr>
            <w:r w:rsidRPr="00F650B7">
              <w:rPr>
                <w:sz w:val="20"/>
                <w:szCs w:val="20"/>
              </w:rPr>
              <w:t>440 022 132,0</w:t>
            </w:r>
          </w:p>
        </w:tc>
        <w:tc>
          <w:tcPr>
            <w:tcW w:w="1560" w:type="dxa"/>
            <w:shd w:val="clear" w:color="auto" w:fill="auto"/>
            <w:vAlign w:val="center"/>
          </w:tcPr>
          <w:p w:rsidR="00FC1F8A" w:rsidRPr="00F650B7" w:rsidRDefault="00FC1F8A" w:rsidP="006D7147">
            <w:pPr>
              <w:jc w:val="right"/>
              <w:rPr>
                <w:sz w:val="20"/>
                <w:szCs w:val="20"/>
              </w:rPr>
            </w:pPr>
            <w:r w:rsidRPr="00F650B7">
              <w:rPr>
                <w:sz w:val="20"/>
                <w:szCs w:val="20"/>
              </w:rPr>
              <w:t>95,8</w:t>
            </w:r>
          </w:p>
        </w:tc>
        <w:tc>
          <w:tcPr>
            <w:tcW w:w="1842" w:type="dxa"/>
            <w:shd w:val="clear" w:color="auto" w:fill="auto"/>
            <w:vAlign w:val="center"/>
          </w:tcPr>
          <w:p w:rsidR="00FC1F8A" w:rsidRPr="00F650B7" w:rsidRDefault="00FC1F8A" w:rsidP="006D7147">
            <w:pPr>
              <w:jc w:val="right"/>
              <w:rPr>
                <w:sz w:val="20"/>
                <w:szCs w:val="20"/>
              </w:rPr>
            </w:pPr>
            <w:r w:rsidRPr="00F650B7">
              <w:rPr>
                <w:sz w:val="20"/>
                <w:szCs w:val="20"/>
              </w:rPr>
              <w:t>192,4</w:t>
            </w:r>
          </w:p>
        </w:tc>
      </w:tr>
      <w:tr w:rsidR="00F650B7" w:rsidRPr="00F650B7" w:rsidTr="00DB2B16">
        <w:tc>
          <w:tcPr>
            <w:tcW w:w="2330"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1.1. Налоговые доходы</w:t>
            </w:r>
          </w:p>
        </w:tc>
        <w:tc>
          <w:tcPr>
            <w:tcW w:w="1395" w:type="dxa"/>
            <w:vAlign w:val="center"/>
          </w:tcPr>
          <w:p w:rsidR="00FC1F8A" w:rsidRPr="00F650B7" w:rsidRDefault="00FC1F8A" w:rsidP="006D7147">
            <w:pPr>
              <w:jc w:val="right"/>
              <w:rPr>
                <w:sz w:val="20"/>
                <w:szCs w:val="20"/>
              </w:rPr>
            </w:pPr>
            <w:r w:rsidRPr="00F650B7">
              <w:rPr>
                <w:sz w:val="20"/>
                <w:szCs w:val="20"/>
              </w:rPr>
              <w:t>221 363 960,5</w:t>
            </w:r>
          </w:p>
        </w:tc>
        <w:tc>
          <w:tcPr>
            <w:tcW w:w="1559" w:type="dxa"/>
            <w:vAlign w:val="center"/>
          </w:tcPr>
          <w:p w:rsidR="00FC1F8A" w:rsidRPr="00F650B7" w:rsidRDefault="00B70F3A" w:rsidP="006D7147">
            <w:pPr>
              <w:jc w:val="right"/>
              <w:rPr>
                <w:sz w:val="20"/>
                <w:szCs w:val="20"/>
              </w:rPr>
            </w:pPr>
            <w:r w:rsidRPr="00F650B7">
              <w:rPr>
                <w:sz w:val="20"/>
                <w:szCs w:val="20"/>
              </w:rPr>
              <w:t>87,7</w:t>
            </w:r>
          </w:p>
        </w:tc>
        <w:tc>
          <w:tcPr>
            <w:tcW w:w="1490" w:type="dxa"/>
            <w:shd w:val="clear" w:color="auto" w:fill="auto"/>
            <w:vAlign w:val="center"/>
          </w:tcPr>
          <w:p w:rsidR="00FC1F8A" w:rsidRPr="00F650B7" w:rsidRDefault="00FC1F8A" w:rsidP="006D7147">
            <w:pPr>
              <w:jc w:val="right"/>
              <w:rPr>
                <w:sz w:val="20"/>
                <w:szCs w:val="20"/>
              </w:rPr>
            </w:pPr>
            <w:r w:rsidRPr="00F650B7">
              <w:rPr>
                <w:sz w:val="20"/>
                <w:szCs w:val="20"/>
              </w:rPr>
              <w:t>434 071 444,4</w:t>
            </w:r>
          </w:p>
        </w:tc>
        <w:tc>
          <w:tcPr>
            <w:tcW w:w="1560" w:type="dxa"/>
            <w:shd w:val="clear" w:color="auto" w:fill="auto"/>
            <w:vAlign w:val="center"/>
          </w:tcPr>
          <w:p w:rsidR="00FC1F8A" w:rsidRPr="00F650B7" w:rsidRDefault="00B70F3A" w:rsidP="006D7147">
            <w:pPr>
              <w:jc w:val="right"/>
              <w:rPr>
                <w:sz w:val="20"/>
                <w:szCs w:val="20"/>
              </w:rPr>
            </w:pPr>
            <w:r w:rsidRPr="00F650B7">
              <w:rPr>
                <w:sz w:val="20"/>
                <w:szCs w:val="20"/>
              </w:rPr>
              <w:t>94,5</w:t>
            </w:r>
          </w:p>
        </w:tc>
        <w:tc>
          <w:tcPr>
            <w:tcW w:w="1842" w:type="dxa"/>
            <w:shd w:val="clear" w:color="auto" w:fill="auto"/>
            <w:vAlign w:val="center"/>
          </w:tcPr>
          <w:p w:rsidR="00FC1F8A" w:rsidRPr="00F650B7" w:rsidRDefault="00FC1F8A" w:rsidP="006D7147">
            <w:pPr>
              <w:jc w:val="right"/>
              <w:rPr>
                <w:sz w:val="20"/>
                <w:szCs w:val="20"/>
              </w:rPr>
            </w:pPr>
            <w:r w:rsidRPr="00F650B7">
              <w:rPr>
                <w:sz w:val="20"/>
                <w:szCs w:val="20"/>
              </w:rPr>
              <w:t>196,1</w:t>
            </w:r>
          </w:p>
        </w:tc>
      </w:tr>
      <w:tr w:rsidR="00F650B7" w:rsidRPr="00F650B7" w:rsidTr="00DB2B16">
        <w:tc>
          <w:tcPr>
            <w:tcW w:w="2330"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1.2. Неналоговые доходы</w:t>
            </w:r>
          </w:p>
        </w:tc>
        <w:tc>
          <w:tcPr>
            <w:tcW w:w="1395" w:type="dxa"/>
            <w:vAlign w:val="center"/>
          </w:tcPr>
          <w:p w:rsidR="00FC1F8A" w:rsidRPr="00F650B7" w:rsidRDefault="00FC1F8A" w:rsidP="006D7147">
            <w:pPr>
              <w:jc w:val="right"/>
              <w:rPr>
                <w:sz w:val="20"/>
                <w:szCs w:val="20"/>
              </w:rPr>
            </w:pPr>
            <w:r w:rsidRPr="00F650B7">
              <w:rPr>
                <w:sz w:val="20"/>
                <w:szCs w:val="20"/>
              </w:rPr>
              <w:t>7 347 927,4</w:t>
            </w:r>
          </w:p>
        </w:tc>
        <w:tc>
          <w:tcPr>
            <w:tcW w:w="1559" w:type="dxa"/>
            <w:vAlign w:val="center"/>
          </w:tcPr>
          <w:p w:rsidR="00FC1F8A" w:rsidRPr="00F650B7" w:rsidRDefault="00B70F3A" w:rsidP="006D7147">
            <w:pPr>
              <w:jc w:val="right"/>
              <w:rPr>
                <w:sz w:val="20"/>
                <w:szCs w:val="20"/>
              </w:rPr>
            </w:pPr>
            <w:r w:rsidRPr="00F650B7">
              <w:rPr>
                <w:sz w:val="20"/>
                <w:szCs w:val="20"/>
              </w:rPr>
              <w:t>2,9</w:t>
            </w:r>
          </w:p>
        </w:tc>
        <w:tc>
          <w:tcPr>
            <w:tcW w:w="1490" w:type="dxa"/>
            <w:shd w:val="clear" w:color="auto" w:fill="auto"/>
            <w:vAlign w:val="center"/>
          </w:tcPr>
          <w:p w:rsidR="00FC1F8A" w:rsidRPr="00F650B7" w:rsidRDefault="00FC1F8A" w:rsidP="006D7147">
            <w:pPr>
              <w:jc w:val="right"/>
              <w:rPr>
                <w:sz w:val="20"/>
                <w:szCs w:val="20"/>
              </w:rPr>
            </w:pPr>
            <w:r w:rsidRPr="00F650B7">
              <w:rPr>
                <w:sz w:val="20"/>
                <w:szCs w:val="20"/>
              </w:rPr>
              <w:t>5 950 687,6</w:t>
            </w:r>
          </w:p>
        </w:tc>
        <w:tc>
          <w:tcPr>
            <w:tcW w:w="1560" w:type="dxa"/>
            <w:shd w:val="clear" w:color="auto" w:fill="auto"/>
            <w:vAlign w:val="center"/>
          </w:tcPr>
          <w:p w:rsidR="00FC1F8A" w:rsidRPr="00F650B7" w:rsidRDefault="00B70F3A" w:rsidP="006D7147">
            <w:pPr>
              <w:jc w:val="right"/>
              <w:rPr>
                <w:sz w:val="20"/>
                <w:szCs w:val="20"/>
              </w:rPr>
            </w:pPr>
            <w:r w:rsidRPr="00F650B7">
              <w:rPr>
                <w:sz w:val="20"/>
                <w:szCs w:val="20"/>
              </w:rPr>
              <w:t>1,3</w:t>
            </w:r>
          </w:p>
        </w:tc>
        <w:tc>
          <w:tcPr>
            <w:tcW w:w="1842" w:type="dxa"/>
            <w:shd w:val="clear" w:color="auto" w:fill="auto"/>
            <w:vAlign w:val="center"/>
          </w:tcPr>
          <w:p w:rsidR="00FC1F8A" w:rsidRPr="00F650B7" w:rsidRDefault="00FC1F8A" w:rsidP="006D7147">
            <w:pPr>
              <w:jc w:val="right"/>
              <w:rPr>
                <w:sz w:val="20"/>
                <w:szCs w:val="20"/>
              </w:rPr>
            </w:pPr>
            <w:r w:rsidRPr="00F650B7">
              <w:rPr>
                <w:sz w:val="20"/>
                <w:szCs w:val="20"/>
              </w:rPr>
              <w:t>81,0</w:t>
            </w:r>
          </w:p>
        </w:tc>
      </w:tr>
      <w:tr w:rsidR="00FC1F8A" w:rsidRPr="00F650B7" w:rsidTr="00DB2B16">
        <w:trPr>
          <w:trHeight w:val="142"/>
        </w:trPr>
        <w:tc>
          <w:tcPr>
            <w:tcW w:w="2330"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2. Безвозмездные поступления</w:t>
            </w:r>
          </w:p>
        </w:tc>
        <w:tc>
          <w:tcPr>
            <w:tcW w:w="1395" w:type="dxa"/>
            <w:vAlign w:val="center"/>
          </w:tcPr>
          <w:p w:rsidR="00FC1F8A" w:rsidRPr="00F650B7" w:rsidRDefault="00FC1F8A" w:rsidP="006D7147">
            <w:pPr>
              <w:jc w:val="right"/>
              <w:rPr>
                <w:sz w:val="20"/>
                <w:szCs w:val="20"/>
              </w:rPr>
            </w:pPr>
            <w:r w:rsidRPr="00F650B7">
              <w:rPr>
                <w:sz w:val="20"/>
                <w:szCs w:val="20"/>
              </w:rPr>
              <w:t>23 772 137,8</w:t>
            </w:r>
          </w:p>
        </w:tc>
        <w:tc>
          <w:tcPr>
            <w:tcW w:w="1559" w:type="dxa"/>
            <w:vAlign w:val="center"/>
          </w:tcPr>
          <w:p w:rsidR="00FC1F8A" w:rsidRPr="00F650B7" w:rsidRDefault="00FC1F8A" w:rsidP="006D7147">
            <w:pPr>
              <w:jc w:val="right"/>
              <w:rPr>
                <w:sz w:val="20"/>
                <w:szCs w:val="20"/>
              </w:rPr>
            </w:pPr>
            <w:r w:rsidRPr="00F650B7">
              <w:rPr>
                <w:sz w:val="20"/>
                <w:szCs w:val="20"/>
              </w:rPr>
              <w:t>9,4</w:t>
            </w:r>
          </w:p>
        </w:tc>
        <w:tc>
          <w:tcPr>
            <w:tcW w:w="1490" w:type="dxa"/>
            <w:shd w:val="clear" w:color="auto" w:fill="auto"/>
            <w:vAlign w:val="center"/>
          </w:tcPr>
          <w:p w:rsidR="00FC1F8A" w:rsidRPr="00F650B7" w:rsidRDefault="00FC1F8A" w:rsidP="006D7147">
            <w:pPr>
              <w:jc w:val="right"/>
              <w:rPr>
                <w:sz w:val="20"/>
                <w:szCs w:val="20"/>
              </w:rPr>
            </w:pPr>
            <w:r w:rsidRPr="00F650B7">
              <w:rPr>
                <w:sz w:val="20"/>
                <w:szCs w:val="20"/>
              </w:rPr>
              <w:t>19 344 270,5</w:t>
            </w:r>
          </w:p>
        </w:tc>
        <w:tc>
          <w:tcPr>
            <w:tcW w:w="1560" w:type="dxa"/>
            <w:shd w:val="clear" w:color="auto" w:fill="auto"/>
            <w:vAlign w:val="center"/>
          </w:tcPr>
          <w:p w:rsidR="00FC1F8A" w:rsidRPr="00F650B7" w:rsidRDefault="00FC1F8A" w:rsidP="006D7147">
            <w:pPr>
              <w:jc w:val="right"/>
              <w:rPr>
                <w:sz w:val="20"/>
                <w:szCs w:val="20"/>
              </w:rPr>
            </w:pPr>
            <w:r w:rsidRPr="00F650B7">
              <w:rPr>
                <w:sz w:val="20"/>
                <w:szCs w:val="20"/>
              </w:rPr>
              <w:t>4,2</w:t>
            </w:r>
          </w:p>
        </w:tc>
        <w:tc>
          <w:tcPr>
            <w:tcW w:w="1842" w:type="dxa"/>
            <w:shd w:val="clear" w:color="auto" w:fill="auto"/>
            <w:vAlign w:val="center"/>
          </w:tcPr>
          <w:p w:rsidR="00FC1F8A" w:rsidRPr="00F650B7" w:rsidRDefault="00FC1F8A" w:rsidP="006D7147">
            <w:pPr>
              <w:jc w:val="right"/>
              <w:rPr>
                <w:sz w:val="20"/>
                <w:szCs w:val="20"/>
              </w:rPr>
            </w:pPr>
            <w:r w:rsidRPr="00F650B7">
              <w:rPr>
                <w:sz w:val="20"/>
                <w:szCs w:val="20"/>
              </w:rPr>
              <w:t>81,4</w:t>
            </w:r>
          </w:p>
        </w:tc>
      </w:tr>
    </w:tbl>
    <w:p w:rsidR="00FC1F8A" w:rsidRPr="00F650B7" w:rsidRDefault="00FC1F8A" w:rsidP="00FC1F8A">
      <w:pPr>
        <w:pStyle w:val="ConsPlusNormal"/>
        <w:ind w:firstLine="709"/>
        <w:jc w:val="both"/>
        <w:rPr>
          <w:rFonts w:ascii="Times New Roman" w:hAnsi="Times New Roman" w:cs="Times New Roman"/>
          <w:sz w:val="28"/>
          <w:szCs w:val="28"/>
          <w:highlight w:val="yellow"/>
        </w:rPr>
      </w:pP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В доходной части областного бюджета Ленинградской области в период 2023-2034 годов основной удельный вес (от 90,6% до 95,8%) занимают налоговые и неналоговые доходы.</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Доля безвозмездных поступлений в общем объеме доходов прогнозируется с сокращением с 9,4% в 2023 году до 4,2% в 2034 году.</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Структура и динамика налоговых и неналоговых доходов областного бюджета Ленинградской области за период 2023-2034 годов характеризуются следующими показателями:</w:t>
      </w:r>
    </w:p>
    <w:p w:rsidR="00FC1F8A" w:rsidRPr="00F650B7" w:rsidRDefault="00FC1F8A" w:rsidP="00FC1F8A">
      <w:pPr>
        <w:pStyle w:val="ConsPlusNormal"/>
        <w:ind w:firstLine="709"/>
        <w:jc w:val="right"/>
        <w:rPr>
          <w:rFonts w:ascii="Times New Roman" w:hAnsi="Times New Roman" w:cs="Times New Roman"/>
          <w:szCs w:val="20"/>
        </w:rPr>
      </w:pPr>
      <w:r w:rsidRPr="00F650B7">
        <w:rPr>
          <w:rFonts w:ascii="Times New Roman" w:hAnsi="Times New Roman" w:cs="Times New Roman"/>
          <w:szCs w:val="20"/>
        </w:rPr>
        <w:t>(тыс. руб.)</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1448"/>
        <w:gridCol w:w="1684"/>
        <w:gridCol w:w="1448"/>
        <w:gridCol w:w="1813"/>
        <w:gridCol w:w="1133"/>
      </w:tblGrid>
      <w:tr w:rsidR="00F650B7" w:rsidRPr="00F650B7" w:rsidTr="006D7147">
        <w:trPr>
          <w:trHeight w:val="20"/>
        </w:trPr>
        <w:tc>
          <w:tcPr>
            <w:tcW w:w="2614"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Показатель</w:t>
            </w:r>
          </w:p>
        </w:tc>
        <w:tc>
          <w:tcPr>
            <w:tcW w:w="1448"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20</w:t>
            </w:r>
            <w:r w:rsidRPr="00F650B7">
              <w:rPr>
                <w:rFonts w:ascii="Times New Roman" w:hAnsi="Times New Roman" w:cs="Times New Roman"/>
                <w:b/>
                <w:szCs w:val="20"/>
                <w:lang w:val="en-US"/>
              </w:rPr>
              <w:t>23</w:t>
            </w:r>
            <w:r w:rsidRPr="00F650B7">
              <w:rPr>
                <w:rFonts w:ascii="Times New Roman" w:hAnsi="Times New Roman" w:cs="Times New Roman"/>
                <w:b/>
                <w:szCs w:val="20"/>
              </w:rPr>
              <w:t xml:space="preserve"> год</w:t>
            </w:r>
          </w:p>
        </w:tc>
        <w:tc>
          <w:tcPr>
            <w:tcW w:w="1684"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Удельный вес в общем объеме налоговых и неналоговых доходов, %</w:t>
            </w:r>
          </w:p>
        </w:tc>
        <w:tc>
          <w:tcPr>
            <w:tcW w:w="1448"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20</w:t>
            </w:r>
            <w:r w:rsidRPr="00F650B7">
              <w:rPr>
                <w:rFonts w:ascii="Times New Roman" w:hAnsi="Times New Roman" w:cs="Times New Roman"/>
                <w:b/>
                <w:szCs w:val="20"/>
                <w:lang w:val="en-US"/>
              </w:rPr>
              <w:t>34</w:t>
            </w:r>
            <w:r w:rsidRPr="00F650B7">
              <w:rPr>
                <w:rFonts w:ascii="Times New Roman" w:hAnsi="Times New Roman" w:cs="Times New Roman"/>
                <w:b/>
                <w:szCs w:val="20"/>
              </w:rPr>
              <w:t xml:space="preserve"> год</w:t>
            </w:r>
          </w:p>
        </w:tc>
        <w:tc>
          <w:tcPr>
            <w:tcW w:w="1813" w:type="dxa"/>
          </w:tcPr>
          <w:p w:rsidR="00FC1F8A" w:rsidRPr="00F650B7" w:rsidRDefault="00FC1F8A" w:rsidP="006D7147">
            <w:pPr>
              <w:pStyle w:val="ConsPlusNormal"/>
              <w:ind w:left="-92"/>
              <w:jc w:val="center"/>
              <w:rPr>
                <w:rFonts w:ascii="Times New Roman" w:hAnsi="Times New Roman" w:cs="Times New Roman"/>
                <w:b/>
                <w:szCs w:val="20"/>
              </w:rPr>
            </w:pPr>
            <w:r w:rsidRPr="00F650B7">
              <w:rPr>
                <w:rFonts w:ascii="Times New Roman" w:hAnsi="Times New Roman" w:cs="Times New Roman"/>
                <w:b/>
                <w:szCs w:val="20"/>
              </w:rPr>
              <w:t>Удельный вес в общем объеме налоговых и неналоговых доходов, %</w:t>
            </w:r>
          </w:p>
        </w:tc>
        <w:tc>
          <w:tcPr>
            <w:tcW w:w="1133" w:type="dxa"/>
          </w:tcPr>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Динамика</w:t>
            </w:r>
          </w:p>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 за период</w:t>
            </w:r>
          </w:p>
          <w:p w:rsidR="00FC1F8A" w:rsidRPr="00F650B7" w:rsidRDefault="00FC1F8A" w:rsidP="006D7147">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 20</w:t>
            </w:r>
            <w:r w:rsidRPr="00F650B7">
              <w:rPr>
                <w:rFonts w:ascii="Times New Roman" w:hAnsi="Times New Roman" w:cs="Times New Roman"/>
                <w:b/>
                <w:szCs w:val="20"/>
                <w:lang w:val="en-US"/>
              </w:rPr>
              <w:t>23</w:t>
            </w:r>
            <w:r w:rsidRPr="00F650B7">
              <w:rPr>
                <w:rFonts w:ascii="Times New Roman" w:hAnsi="Times New Roman" w:cs="Times New Roman"/>
                <w:b/>
                <w:szCs w:val="20"/>
              </w:rPr>
              <w:t>-20</w:t>
            </w:r>
            <w:r w:rsidRPr="00F650B7">
              <w:rPr>
                <w:rFonts w:ascii="Times New Roman" w:hAnsi="Times New Roman" w:cs="Times New Roman"/>
                <w:b/>
                <w:szCs w:val="20"/>
                <w:lang w:val="en-US"/>
              </w:rPr>
              <w:t>34</w:t>
            </w:r>
            <w:r w:rsidRPr="00F650B7">
              <w:rPr>
                <w:rFonts w:ascii="Times New Roman" w:hAnsi="Times New Roman" w:cs="Times New Roman"/>
                <w:b/>
                <w:szCs w:val="20"/>
              </w:rPr>
              <w:t xml:space="preserve"> годов, %</w:t>
            </w:r>
          </w:p>
        </w:tc>
      </w:tr>
      <w:tr w:rsidR="00F650B7"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b/>
                <w:szCs w:val="20"/>
              </w:rPr>
            </w:pPr>
            <w:r w:rsidRPr="00F650B7">
              <w:rPr>
                <w:rFonts w:ascii="Times New Roman" w:hAnsi="Times New Roman" w:cs="Times New Roman"/>
                <w:b/>
                <w:szCs w:val="20"/>
              </w:rPr>
              <w:t>Налоговые и неналоговые доходы</w:t>
            </w:r>
          </w:p>
        </w:tc>
        <w:tc>
          <w:tcPr>
            <w:tcW w:w="1448" w:type="dxa"/>
            <w:shd w:val="clear" w:color="auto" w:fill="auto"/>
            <w:vAlign w:val="center"/>
          </w:tcPr>
          <w:p w:rsidR="00FC1F8A" w:rsidRPr="00F650B7" w:rsidRDefault="00FC1F8A" w:rsidP="006D7147">
            <w:pPr>
              <w:jc w:val="right"/>
              <w:rPr>
                <w:b/>
                <w:bCs/>
                <w:sz w:val="20"/>
                <w:szCs w:val="20"/>
              </w:rPr>
            </w:pPr>
            <w:r w:rsidRPr="00F650B7">
              <w:rPr>
                <w:b/>
                <w:bCs/>
                <w:sz w:val="20"/>
                <w:szCs w:val="20"/>
              </w:rPr>
              <w:t>228 711 887,9</w:t>
            </w:r>
          </w:p>
        </w:tc>
        <w:tc>
          <w:tcPr>
            <w:tcW w:w="1684" w:type="dxa"/>
            <w:shd w:val="clear" w:color="auto" w:fill="auto"/>
            <w:vAlign w:val="center"/>
          </w:tcPr>
          <w:p w:rsidR="00FC1F8A" w:rsidRPr="00F650B7" w:rsidRDefault="00FC1F8A" w:rsidP="006D7147">
            <w:pPr>
              <w:jc w:val="right"/>
              <w:rPr>
                <w:b/>
                <w:bCs/>
                <w:sz w:val="20"/>
                <w:szCs w:val="20"/>
              </w:rPr>
            </w:pPr>
            <w:r w:rsidRPr="00F650B7">
              <w:rPr>
                <w:b/>
                <w:bCs/>
                <w:sz w:val="20"/>
                <w:szCs w:val="20"/>
              </w:rPr>
              <w:t>100,0</w:t>
            </w:r>
          </w:p>
        </w:tc>
        <w:tc>
          <w:tcPr>
            <w:tcW w:w="1448" w:type="dxa"/>
            <w:shd w:val="clear" w:color="auto" w:fill="auto"/>
            <w:vAlign w:val="center"/>
          </w:tcPr>
          <w:p w:rsidR="00FC1F8A" w:rsidRPr="00F650B7" w:rsidRDefault="00FC1F8A" w:rsidP="006D7147">
            <w:pPr>
              <w:jc w:val="right"/>
              <w:rPr>
                <w:b/>
                <w:bCs/>
                <w:sz w:val="20"/>
                <w:szCs w:val="20"/>
              </w:rPr>
            </w:pPr>
            <w:r w:rsidRPr="00F650B7">
              <w:rPr>
                <w:b/>
                <w:bCs/>
                <w:sz w:val="20"/>
                <w:szCs w:val="20"/>
              </w:rPr>
              <w:t>440 022 132,0</w:t>
            </w:r>
          </w:p>
        </w:tc>
        <w:tc>
          <w:tcPr>
            <w:tcW w:w="1813" w:type="dxa"/>
            <w:shd w:val="clear" w:color="auto" w:fill="auto"/>
            <w:vAlign w:val="center"/>
          </w:tcPr>
          <w:p w:rsidR="00FC1F8A" w:rsidRPr="00F650B7" w:rsidRDefault="00FC1F8A" w:rsidP="006D7147">
            <w:pPr>
              <w:jc w:val="right"/>
              <w:rPr>
                <w:b/>
                <w:bCs/>
                <w:sz w:val="20"/>
                <w:szCs w:val="20"/>
              </w:rPr>
            </w:pPr>
            <w:r w:rsidRPr="00F650B7">
              <w:rPr>
                <w:b/>
                <w:bCs/>
                <w:sz w:val="20"/>
                <w:szCs w:val="20"/>
              </w:rPr>
              <w:t>100,0</w:t>
            </w:r>
          </w:p>
        </w:tc>
        <w:tc>
          <w:tcPr>
            <w:tcW w:w="1133" w:type="dxa"/>
            <w:shd w:val="clear" w:color="auto" w:fill="auto"/>
            <w:vAlign w:val="center"/>
          </w:tcPr>
          <w:p w:rsidR="00FC1F8A" w:rsidRPr="00F650B7" w:rsidRDefault="00FC1F8A" w:rsidP="006D7147">
            <w:pPr>
              <w:jc w:val="right"/>
              <w:rPr>
                <w:b/>
                <w:bCs/>
                <w:sz w:val="20"/>
                <w:szCs w:val="20"/>
              </w:rPr>
            </w:pPr>
            <w:r w:rsidRPr="00F650B7">
              <w:rPr>
                <w:b/>
                <w:bCs/>
                <w:sz w:val="20"/>
                <w:szCs w:val="20"/>
              </w:rPr>
              <w:t>192,4</w:t>
            </w:r>
          </w:p>
        </w:tc>
      </w:tr>
      <w:tr w:rsidR="00F650B7"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lastRenderedPageBreak/>
              <w:t>1.1. Налоговые доходы</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221 363 960,5</w:t>
            </w:r>
          </w:p>
        </w:tc>
        <w:tc>
          <w:tcPr>
            <w:tcW w:w="1684" w:type="dxa"/>
            <w:shd w:val="clear" w:color="auto" w:fill="auto"/>
            <w:vAlign w:val="center"/>
          </w:tcPr>
          <w:p w:rsidR="00FC1F8A" w:rsidRPr="00F650B7" w:rsidRDefault="00FC1F8A" w:rsidP="006D7147">
            <w:pPr>
              <w:jc w:val="right"/>
              <w:rPr>
                <w:sz w:val="20"/>
                <w:szCs w:val="20"/>
              </w:rPr>
            </w:pPr>
            <w:r w:rsidRPr="00F650B7">
              <w:rPr>
                <w:sz w:val="20"/>
                <w:szCs w:val="20"/>
              </w:rPr>
              <w:t>96,8</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434 071 444,4</w:t>
            </w:r>
          </w:p>
        </w:tc>
        <w:tc>
          <w:tcPr>
            <w:tcW w:w="1813" w:type="dxa"/>
            <w:shd w:val="clear" w:color="auto" w:fill="auto"/>
            <w:vAlign w:val="center"/>
          </w:tcPr>
          <w:p w:rsidR="00FC1F8A" w:rsidRPr="00F650B7" w:rsidRDefault="00FC1F8A" w:rsidP="006D7147">
            <w:pPr>
              <w:jc w:val="right"/>
              <w:rPr>
                <w:sz w:val="20"/>
                <w:szCs w:val="20"/>
              </w:rPr>
            </w:pPr>
            <w:r w:rsidRPr="00F650B7">
              <w:rPr>
                <w:sz w:val="20"/>
                <w:szCs w:val="20"/>
              </w:rPr>
              <w:t>98,6</w:t>
            </w:r>
          </w:p>
        </w:tc>
        <w:tc>
          <w:tcPr>
            <w:tcW w:w="1133" w:type="dxa"/>
            <w:shd w:val="clear" w:color="auto" w:fill="auto"/>
            <w:vAlign w:val="center"/>
          </w:tcPr>
          <w:p w:rsidR="00FC1F8A" w:rsidRPr="00F650B7" w:rsidRDefault="00FC1F8A" w:rsidP="006D7147">
            <w:pPr>
              <w:jc w:val="right"/>
              <w:rPr>
                <w:sz w:val="20"/>
                <w:szCs w:val="20"/>
              </w:rPr>
            </w:pPr>
            <w:r w:rsidRPr="00F650B7">
              <w:rPr>
                <w:sz w:val="20"/>
                <w:szCs w:val="20"/>
              </w:rPr>
              <w:t>196,1</w:t>
            </w:r>
          </w:p>
        </w:tc>
      </w:tr>
      <w:tr w:rsidR="00F650B7"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в том числе:</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 </w:t>
            </w:r>
          </w:p>
        </w:tc>
        <w:tc>
          <w:tcPr>
            <w:tcW w:w="1684" w:type="dxa"/>
            <w:shd w:val="clear" w:color="auto" w:fill="auto"/>
            <w:vAlign w:val="center"/>
          </w:tcPr>
          <w:p w:rsidR="00FC1F8A" w:rsidRPr="00F650B7" w:rsidRDefault="00FC1F8A" w:rsidP="006D7147">
            <w:pPr>
              <w:jc w:val="right"/>
              <w:rPr>
                <w:sz w:val="20"/>
                <w:szCs w:val="20"/>
              </w:rPr>
            </w:pPr>
            <w:r w:rsidRPr="00F650B7">
              <w:rPr>
                <w:sz w:val="20"/>
                <w:szCs w:val="20"/>
              </w:rPr>
              <w:t> </w:t>
            </w:r>
          </w:p>
        </w:tc>
        <w:tc>
          <w:tcPr>
            <w:tcW w:w="1448" w:type="dxa"/>
            <w:shd w:val="clear" w:color="auto" w:fill="auto"/>
            <w:vAlign w:val="center"/>
          </w:tcPr>
          <w:p w:rsidR="00FC1F8A" w:rsidRPr="00F650B7" w:rsidRDefault="00FC1F8A" w:rsidP="006D7147">
            <w:pPr>
              <w:jc w:val="center"/>
              <w:rPr>
                <w:sz w:val="22"/>
                <w:szCs w:val="22"/>
              </w:rPr>
            </w:pPr>
            <w:r w:rsidRPr="00F650B7">
              <w:rPr>
                <w:sz w:val="22"/>
                <w:szCs w:val="22"/>
              </w:rPr>
              <w:t> </w:t>
            </w:r>
          </w:p>
        </w:tc>
        <w:tc>
          <w:tcPr>
            <w:tcW w:w="1813" w:type="dxa"/>
            <w:shd w:val="clear" w:color="auto" w:fill="auto"/>
            <w:vAlign w:val="center"/>
          </w:tcPr>
          <w:p w:rsidR="00FC1F8A" w:rsidRPr="00F650B7" w:rsidRDefault="00FC1F8A" w:rsidP="006D7147">
            <w:pPr>
              <w:jc w:val="right"/>
              <w:rPr>
                <w:sz w:val="20"/>
                <w:szCs w:val="20"/>
              </w:rPr>
            </w:pPr>
            <w:r w:rsidRPr="00F650B7">
              <w:rPr>
                <w:sz w:val="20"/>
                <w:szCs w:val="20"/>
              </w:rPr>
              <w:t> </w:t>
            </w:r>
          </w:p>
        </w:tc>
        <w:tc>
          <w:tcPr>
            <w:tcW w:w="1133" w:type="dxa"/>
            <w:shd w:val="clear" w:color="auto" w:fill="auto"/>
            <w:vAlign w:val="center"/>
          </w:tcPr>
          <w:p w:rsidR="00FC1F8A" w:rsidRPr="00F650B7" w:rsidRDefault="00FC1F8A" w:rsidP="006D7147">
            <w:pPr>
              <w:jc w:val="right"/>
              <w:rPr>
                <w:sz w:val="20"/>
                <w:szCs w:val="20"/>
              </w:rPr>
            </w:pPr>
            <w:r w:rsidRPr="00F650B7">
              <w:rPr>
                <w:sz w:val="20"/>
                <w:szCs w:val="20"/>
              </w:rPr>
              <w:t> </w:t>
            </w:r>
          </w:p>
        </w:tc>
      </w:tr>
      <w:tr w:rsidR="00F650B7"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налог на прибыль организаций</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124 470 473,2</w:t>
            </w:r>
          </w:p>
        </w:tc>
        <w:tc>
          <w:tcPr>
            <w:tcW w:w="1684" w:type="dxa"/>
            <w:shd w:val="clear" w:color="auto" w:fill="auto"/>
            <w:vAlign w:val="center"/>
          </w:tcPr>
          <w:p w:rsidR="00FC1F8A" w:rsidRPr="00F650B7" w:rsidRDefault="00B70F3A" w:rsidP="006D7147">
            <w:pPr>
              <w:jc w:val="right"/>
              <w:rPr>
                <w:sz w:val="20"/>
                <w:szCs w:val="20"/>
              </w:rPr>
            </w:pPr>
            <w:r w:rsidRPr="00F650B7">
              <w:rPr>
                <w:sz w:val="20"/>
                <w:szCs w:val="20"/>
              </w:rPr>
              <w:t>54,4</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197 539 612,8</w:t>
            </w:r>
          </w:p>
        </w:tc>
        <w:tc>
          <w:tcPr>
            <w:tcW w:w="1813" w:type="dxa"/>
            <w:shd w:val="clear" w:color="auto" w:fill="auto"/>
            <w:vAlign w:val="center"/>
          </w:tcPr>
          <w:p w:rsidR="00FC1F8A" w:rsidRPr="00F650B7" w:rsidRDefault="00B70F3A" w:rsidP="006D7147">
            <w:pPr>
              <w:jc w:val="right"/>
              <w:rPr>
                <w:sz w:val="20"/>
                <w:szCs w:val="20"/>
              </w:rPr>
            </w:pPr>
            <w:r w:rsidRPr="00F650B7">
              <w:rPr>
                <w:sz w:val="20"/>
                <w:szCs w:val="20"/>
              </w:rPr>
              <w:t>44,9</w:t>
            </w:r>
          </w:p>
        </w:tc>
        <w:tc>
          <w:tcPr>
            <w:tcW w:w="1133" w:type="dxa"/>
            <w:shd w:val="clear" w:color="auto" w:fill="auto"/>
            <w:vAlign w:val="center"/>
          </w:tcPr>
          <w:p w:rsidR="00FC1F8A" w:rsidRPr="00F650B7" w:rsidRDefault="00FC1F8A" w:rsidP="006D7147">
            <w:pPr>
              <w:jc w:val="right"/>
              <w:rPr>
                <w:sz w:val="20"/>
                <w:szCs w:val="20"/>
              </w:rPr>
            </w:pPr>
            <w:r w:rsidRPr="00F650B7">
              <w:rPr>
                <w:sz w:val="20"/>
                <w:szCs w:val="20"/>
              </w:rPr>
              <w:t>158,7</w:t>
            </w:r>
          </w:p>
        </w:tc>
      </w:tr>
      <w:tr w:rsidR="00F650B7"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налог на доходы физических лиц</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47 974 218,1</w:t>
            </w:r>
          </w:p>
        </w:tc>
        <w:tc>
          <w:tcPr>
            <w:tcW w:w="1684" w:type="dxa"/>
            <w:shd w:val="clear" w:color="auto" w:fill="auto"/>
            <w:vAlign w:val="center"/>
          </w:tcPr>
          <w:p w:rsidR="00FC1F8A" w:rsidRPr="00F650B7" w:rsidRDefault="00B70F3A" w:rsidP="006D7147">
            <w:pPr>
              <w:jc w:val="right"/>
              <w:rPr>
                <w:sz w:val="20"/>
                <w:szCs w:val="20"/>
              </w:rPr>
            </w:pPr>
            <w:r w:rsidRPr="00F650B7">
              <w:rPr>
                <w:sz w:val="20"/>
                <w:szCs w:val="20"/>
              </w:rPr>
              <w:t>21,0</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148 846 085,6</w:t>
            </w:r>
          </w:p>
        </w:tc>
        <w:tc>
          <w:tcPr>
            <w:tcW w:w="1813" w:type="dxa"/>
            <w:shd w:val="clear" w:color="auto" w:fill="auto"/>
            <w:vAlign w:val="center"/>
          </w:tcPr>
          <w:p w:rsidR="00FC1F8A" w:rsidRPr="00F650B7" w:rsidRDefault="00B70F3A" w:rsidP="006D7147">
            <w:pPr>
              <w:jc w:val="right"/>
              <w:rPr>
                <w:sz w:val="20"/>
                <w:szCs w:val="20"/>
              </w:rPr>
            </w:pPr>
            <w:r w:rsidRPr="00F650B7">
              <w:rPr>
                <w:sz w:val="20"/>
                <w:szCs w:val="20"/>
              </w:rPr>
              <w:t>33,8</w:t>
            </w:r>
          </w:p>
        </w:tc>
        <w:tc>
          <w:tcPr>
            <w:tcW w:w="1133" w:type="dxa"/>
            <w:shd w:val="clear" w:color="auto" w:fill="auto"/>
            <w:vAlign w:val="center"/>
          </w:tcPr>
          <w:p w:rsidR="00FC1F8A" w:rsidRPr="00F650B7" w:rsidRDefault="00FC1F8A" w:rsidP="006D7147">
            <w:pPr>
              <w:jc w:val="right"/>
              <w:rPr>
                <w:sz w:val="20"/>
                <w:szCs w:val="20"/>
              </w:rPr>
            </w:pPr>
            <w:r w:rsidRPr="00F650B7">
              <w:rPr>
                <w:sz w:val="20"/>
                <w:szCs w:val="20"/>
              </w:rPr>
              <w:t>310,3</w:t>
            </w:r>
          </w:p>
        </w:tc>
      </w:tr>
      <w:tr w:rsidR="00F650B7"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акцизы</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14 050 454,9</w:t>
            </w:r>
          </w:p>
        </w:tc>
        <w:tc>
          <w:tcPr>
            <w:tcW w:w="1684" w:type="dxa"/>
            <w:shd w:val="clear" w:color="auto" w:fill="auto"/>
            <w:vAlign w:val="center"/>
          </w:tcPr>
          <w:p w:rsidR="00FC1F8A" w:rsidRPr="00F650B7" w:rsidRDefault="00FC1F8A" w:rsidP="00B70F3A">
            <w:pPr>
              <w:jc w:val="right"/>
              <w:rPr>
                <w:sz w:val="20"/>
                <w:szCs w:val="20"/>
              </w:rPr>
            </w:pPr>
            <w:r w:rsidRPr="00F650B7">
              <w:rPr>
                <w:sz w:val="20"/>
                <w:szCs w:val="20"/>
              </w:rPr>
              <w:t>6,</w:t>
            </w:r>
            <w:r w:rsidR="00B70F3A" w:rsidRPr="00F650B7">
              <w:rPr>
                <w:sz w:val="20"/>
                <w:szCs w:val="20"/>
              </w:rPr>
              <w:t>1</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25 415 096,4</w:t>
            </w:r>
          </w:p>
        </w:tc>
        <w:tc>
          <w:tcPr>
            <w:tcW w:w="1813" w:type="dxa"/>
            <w:shd w:val="clear" w:color="auto" w:fill="auto"/>
            <w:vAlign w:val="center"/>
          </w:tcPr>
          <w:p w:rsidR="00FC1F8A" w:rsidRPr="00F650B7" w:rsidRDefault="00B70F3A" w:rsidP="006D7147">
            <w:pPr>
              <w:jc w:val="right"/>
              <w:rPr>
                <w:sz w:val="20"/>
                <w:szCs w:val="20"/>
              </w:rPr>
            </w:pPr>
            <w:r w:rsidRPr="00F650B7">
              <w:rPr>
                <w:sz w:val="20"/>
                <w:szCs w:val="20"/>
              </w:rPr>
              <w:t>5,8</w:t>
            </w:r>
          </w:p>
        </w:tc>
        <w:tc>
          <w:tcPr>
            <w:tcW w:w="1133" w:type="dxa"/>
            <w:shd w:val="clear" w:color="auto" w:fill="auto"/>
            <w:vAlign w:val="center"/>
          </w:tcPr>
          <w:p w:rsidR="00FC1F8A" w:rsidRPr="00F650B7" w:rsidRDefault="00FC1F8A" w:rsidP="006D7147">
            <w:pPr>
              <w:jc w:val="right"/>
              <w:rPr>
                <w:sz w:val="20"/>
                <w:szCs w:val="20"/>
              </w:rPr>
            </w:pPr>
            <w:r w:rsidRPr="00F650B7">
              <w:rPr>
                <w:sz w:val="20"/>
                <w:szCs w:val="20"/>
              </w:rPr>
              <w:t>180,9</w:t>
            </w:r>
          </w:p>
        </w:tc>
      </w:tr>
      <w:tr w:rsidR="00F650B7"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налог на имущество организаций</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29 360 298,6</w:t>
            </w:r>
          </w:p>
        </w:tc>
        <w:tc>
          <w:tcPr>
            <w:tcW w:w="1684" w:type="dxa"/>
            <w:shd w:val="clear" w:color="auto" w:fill="auto"/>
            <w:vAlign w:val="center"/>
          </w:tcPr>
          <w:p w:rsidR="00FC1F8A" w:rsidRPr="00F650B7" w:rsidRDefault="00B70F3A" w:rsidP="006D7147">
            <w:pPr>
              <w:jc w:val="right"/>
              <w:rPr>
                <w:sz w:val="20"/>
                <w:szCs w:val="20"/>
              </w:rPr>
            </w:pPr>
            <w:r w:rsidRPr="00F650B7">
              <w:rPr>
                <w:sz w:val="20"/>
                <w:szCs w:val="20"/>
              </w:rPr>
              <w:t>12,8</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54 117 522,5</w:t>
            </w:r>
          </w:p>
        </w:tc>
        <w:tc>
          <w:tcPr>
            <w:tcW w:w="1813" w:type="dxa"/>
            <w:shd w:val="clear" w:color="auto" w:fill="auto"/>
            <w:vAlign w:val="center"/>
          </w:tcPr>
          <w:p w:rsidR="00FC1F8A" w:rsidRPr="00F650B7" w:rsidRDefault="00FC1F8A" w:rsidP="00B70F3A">
            <w:pPr>
              <w:jc w:val="right"/>
              <w:rPr>
                <w:sz w:val="20"/>
                <w:szCs w:val="20"/>
              </w:rPr>
            </w:pPr>
            <w:r w:rsidRPr="00F650B7">
              <w:rPr>
                <w:sz w:val="20"/>
                <w:szCs w:val="20"/>
              </w:rPr>
              <w:t>12,</w:t>
            </w:r>
            <w:r w:rsidR="00B70F3A" w:rsidRPr="00F650B7">
              <w:rPr>
                <w:sz w:val="20"/>
                <w:szCs w:val="20"/>
              </w:rPr>
              <w:t>3</w:t>
            </w:r>
          </w:p>
        </w:tc>
        <w:tc>
          <w:tcPr>
            <w:tcW w:w="1133" w:type="dxa"/>
            <w:shd w:val="clear" w:color="auto" w:fill="auto"/>
            <w:vAlign w:val="center"/>
          </w:tcPr>
          <w:p w:rsidR="00FC1F8A" w:rsidRPr="00F650B7" w:rsidRDefault="00FC1F8A" w:rsidP="006D7147">
            <w:pPr>
              <w:jc w:val="right"/>
              <w:rPr>
                <w:sz w:val="20"/>
                <w:szCs w:val="20"/>
              </w:rPr>
            </w:pPr>
            <w:r w:rsidRPr="00F650B7">
              <w:rPr>
                <w:sz w:val="20"/>
                <w:szCs w:val="20"/>
              </w:rPr>
              <w:t>184,3</w:t>
            </w:r>
          </w:p>
        </w:tc>
      </w:tr>
      <w:tr w:rsidR="00FC1F8A" w:rsidRPr="00F650B7" w:rsidTr="006D7147">
        <w:trPr>
          <w:trHeight w:val="20"/>
        </w:trPr>
        <w:tc>
          <w:tcPr>
            <w:tcW w:w="2614" w:type="dxa"/>
          </w:tcPr>
          <w:p w:rsidR="00FC1F8A" w:rsidRPr="00F650B7" w:rsidRDefault="00FC1F8A" w:rsidP="006D7147">
            <w:pPr>
              <w:pStyle w:val="ConsPlusNormal"/>
              <w:rPr>
                <w:rFonts w:ascii="Times New Roman" w:hAnsi="Times New Roman" w:cs="Times New Roman"/>
                <w:szCs w:val="20"/>
              </w:rPr>
            </w:pPr>
            <w:r w:rsidRPr="00F650B7">
              <w:rPr>
                <w:rFonts w:ascii="Times New Roman" w:hAnsi="Times New Roman" w:cs="Times New Roman"/>
                <w:szCs w:val="20"/>
              </w:rPr>
              <w:t>1.2. Неналоговые доходы</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7 347 927,4</w:t>
            </w:r>
          </w:p>
        </w:tc>
        <w:tc>
          <w:tcPr>
            <w:tcW w:w="1684" w:type="dxa"/>
            <w:shd w:val="clear" w:color="auto" w:fill="auto"/>
            <w:vAlign w:val="center"/>
          </w:tcPr>
          <w:p w:rsidR="00FC1F8A" w:rsidRPr="00F650B7" w:rsidRDefault="00FC1F8A" w:rsidP="006D7147">
            <w:pPr>
              <w:jc w:val="right"/>
              <w:rPr>
                <w:sz w:val="20"/>
                <w:szCs w:val="20"/>
              </w:rPr>
            </w:pPr>
            <w:r w:rsidRPr="00F650B7">
              <w:rPr>
                <w:sz w:val="20"/>
                <w:szCs w:val="20"/>
              </w:rPr>
              <w:t>3,2</w:t>
            </w:r>
          </w:p>
        </w:tc>
        <w:tc>
          <w:tcPr>
            <w:tcW w:w="1448" w:type="dxa"/>
            <w:shd w:val="clear" w:color="auto" w:fill="auto"/>
            <w:vAlign w:val="center"/>
          </w:tcPr>
          <w:p w:rsidR="00FC1F8A" w:rsidRPr="00F650B7" w:rsidRDefault="00FC1F8A" w:rsidP="006D7147">
            <w:pPr>
              <w:jc w:val="right"/>
              <w:rPr>
                <w:sz w:val="20"/>
                <w:szCs w:val="20"/>
              </w:rPr>
            </w:pPr>
            <w:r w:rsidRPr="00F650B7">
              <w:rPr>
                <w:sz w:val="20"/>
                <w:szCs w:val="20"/>
              </w:rPr>
              <w:t>5 950 687,6</w:t>
            </w:r>
          </w:p>
        </w:tc>
        <w:tc>
          <w:tcPr>
            <w:tcW w:w="1813" w:type="dxa"/>
            <w:shd w:val="clear" w:color="auto" w:fill="auto"/>
            <w:vAlign w:val="center"/>
          </w:tcPr>
          <w:p w:rsidR="00FC1F8A" w:rsidRPr="00F650B7" w:rsidRDefault="00FC1F8A" w:rsidP="006D7147">
            <w:pPr>
              <w:jc w:val="right"/>
              <w:rPr>
                <w:sz w:val="20"/>
                <w:szCs w:val="20"/>
              </w:rPr>
            </w:pPr>
            <w:r w:rsidRPr="00F650B7">
              <w:rPr>
                <w:sz w:val="20"/>
                <w:szCs w:val="20"/>
              </w:rPr>
              <w:t>1,4</w:t>
            </w:r>
          </w:p>
        </w:tc>
        <w:tc>
          <w:tcPr>
            <w:tcW w:w="1133" w:type="dxa"/>
            <w:shd w:val="clear" w:color="auto" w:fill="auto"/>
            <w:vAlign w:val="center"/>
          </w:tcPr>
          <w:p w:rsidR="00FC1F8A" w:rsidRPr="00F650B7" w:rsidRDefault="00FC1F8A" w:rsidP="006D7147">
            <w:pPr>
              <w:jc w:val="right"/>
              <w:rPr>
                <w:sz w:val="20"/>
                <w:szCs w:val="20"/>
              </w:rPr>
            </w:pPr>
            <w:r w:rsidRPr="00F650B7">
              <w:rPr>
                <w:sz w:val="20"/>
                <w:szCs w:val="20"/>
              </w:rPr>
              <w:t>81,0</w:t>
            </w:r>
          </w:p>
        </w:tc>
      </w:tr>
    </w:tbl>
    <w:p w:rsidR="00FC1F8A" w:rsidRPr="00F650B7" w:rsidRDefault="00FC1F8A" w:rsidP="00FC1F8A">
      <w:pPr>
        <w:pStyle w:val="ConsPlusNormal"/>
        <w:ind w:firstLine="709"/>
        <w:rPr>
          <w:highlight w:val="yellow"/>
        </w:rPr>
      </w:pP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В долгосрочной перспективе ожидаются изменения в структуре налоговых и неналоговых доходов областного бюджета Ленинградской области в сторону увеличения доли налоговых доходов - с 96,8% в 2023 году до 98,6% в 2034 году.</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Основными налоговыми доходными источниками бюджета по-прежнему останутся налог на прибыль организаций, налог на доходы физических лиц, налог на имущество организаций и акцизы. Удельный вес перечисленных налогов составит в общем объеме налоговых и неналоговых доходов областного бюджета в среднем 98,1%.</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Рост поступлений по налоговым доходам за период 2023-2034 годов с учетом макроэкономических показателей по прогнозу социально-экономического развития Ленинградской области составит 196,1%.</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При этом наблюдаются опережающие темпы роста по налогу на доходы физических лиц (310,3%) за счет расширения налоговой базы, и по налогу на имущество организаций (184,3%) в результате расширения налоговой базы за счет ввода новых производственных мощностей.</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По налогу на прибыль организаций темп роста (158,7%) ниже среднего по причине исключения из федерального налогового законодательства положений, регулирующих деятельность консолидированных групп налогоплательщиков, а также прекращения в 2026 году действия компенсационного механизма, предусмотренного федеральным бюджетным законодательством.</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При этом, к 2034 году в структуре налоговых и неналоговых доходов в результате снижения доли налога на прибыль организаций существенно увеличивается доля налога на доходы физических лиц, как наиболее стабильного доходного источника регионального бюджета.</w:t>
      </w:r>
    </w:p>
    <w:p w:rsidR="00FC1F8A" w:rsidRPr="00F650B7" w:rsidRDefault="00FC1F8A" w:rsidP="00FC1F8A">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По неналоговым доходам наблюдается тенденция к снижению объема платежей к 2034 году (81,0%) в основном за счет доходов от размещения временно свободных средств областного бюджета Ленинградской области.</w:t>
      </w:r>
    </w:p>
    <w:p w:rsidR="00D70A87" w:rsidRPr="00F650B7" w:rsidRDefault="00D70A87" w:rsidP="00982E0E">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Структура и динамика безвозмездных поступлений в областной бюджет Ленинградской области за период 20</w:t>
      </w:r>
      <w:r w:rsidR="007B0912" w:rsidRPr="00F650B7">
        <w:rPr>
          <w:rFonts w:ascii="Times New Roman" w:hAnsi="Times New Roman" w:cs="Times New Roman"/>
          <w:sz w:val="28"/>
          <w:szCs w:val="28"/>
        </w:rPr>
        <w:t>23</w:t>
      </w:r>
      <w:r w:rsidRPr="00F650B7">
        <w:rPr>
          <w:rFonts w:ascii="Times New Roman" w:hAnsi="Times New Roman" w:cs="Times New Roman"/>
          <w:sz w:val="28"/>
          <w:szCs w:val="28"/>
        </w:rPr>
        <w:t>-20</w:t>
      </w:r>
      <w:r w:rsidR="007B0912"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годов характеризуются следующими показателями:</w:t>
      </w:r>
    </w:p>
    <w:p w:rsidR="004C2BF6" w:rsidRPr="00F650B7" w:rsidRDefault="004C2BF6" w:rsidP="00982E0E">
      <w:pPr>
        <w:pStyle w:val="ConsPlusNormal"/>
        <w:ind w:firstLine="709"/>
        <w:jc w:val="both"/>
        <w:rPr>
          <w:rFonts w:ascii="Times New Roman" w:hAnsi="Times New Roman" w:cs="Times New Roman"/>
          <w:sz w:val="28"/>
          <w:szCs w:val="28"/>
          <w:highlight w:val="yellow"/>
        </w:rPr>
      </w:pPr>
    </w:p>
    <w:p w:rsidR="00F650B7" w:rsidRPr="00F650B7" w:rsidRDefault="00F650B7" w:rsidP="00982E0E">
      <w:pPr>
        <w:pStyle w:val="ConsPlusNormal"/>
        <w:ind w:firstLine="709"/>
        <w:jc w:val="both"/>
        <w:rPr>
          <w:rFonts w:ascii="Times New Roman" w:hAnsi="Times New Roman" w:cs="Times New Roman"/>
          <w:sz w:val="28"/>
          <w:szCs w:val="28"/>
          <w:highlight w:val="yellow"/>
        </w:rPr>
      </w:pPr>
    </w:p>
    <w:p w:rsidR="00D70A87" w:rsidRPr="00F650B7" w:rsidRDefault="00E42653" w:rsidP="00D16555">
      <w:pPr>
        <w:pStyle w:val="ConsPlusNormal"/>
        <w:ind w:firstLine="709"/>
        <w:jc w:val="right"/>
        <w:rPr>
          <w:rFonts w:ascii="Times New Roman" w:hAnsi="Times New Roman" w:cs="Times New Roman"/>
          <w:szCs w:val="20"/>
        </w:rPr>
      </w:pPr>
      <w:r w:rsidRPr="00F650B7">
        <w:rPr>
          <w:rFonts w:ascii="Times New Roman" w:hAnsi="Times New Roman" w:cs="Times New Roman"/>
          <w:szCs w:val="20"/>
        </w:rPr>
        <w:lastRenderedPageBreak/>
        <w:t>(тыс. руб.)</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1276"/>
        <w:gridCol w:w="1702"/>
        <w:gridCol w:w="1275"/>
        <w:gridCol w:w="1559"/>
        <w:gridCol w:w="1701"/>
      </w:tblGrid>
      <w:tr w:rsidR="00F650B7" w:rsidRPr="00F650B7" w:rsidTr="00CC38C4">
        <w:trPr>
          <w:trHeight w:val="20"/>
        </w:trPr>
        <w:tc>
          <w:tcPr>
            <w:tcW w:w="2614" w:type="dxa"/>
          </w:tcPr>
          <w:p w:rsidR="007B0912"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Показатель</w:t>
            </w:r>
          </w:p>
        </w:tc>
        <w:tc>
          <w:tcPr>
            <w:tcW w:w="1276" w:type="dxa"/>
          </w:tcPr>
          <w:p w:rsidR="007B0912"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20</w:t>
            </w:r>
            <w:r w:rsidRPr="00F650B7">
              <w:rPr>
                <w:rFonts w:ascii="Times New Roman" w:hAnsi="Times New Roman" w:cs="Times New Roman"/>
                <w:b/>
                <w:szCs w:val="20"/>
                <w:lang w:val="en-US"/>
              </w:rPr>
              <w:t>23</w:t>
            </w:r>
            <w:r w:rsidRPr="00F650B7">
              <w:rPr>
                <w:rFonts w:ascii="Times New Roman" w:hAnsi="Times New Roman" w:cs="Times New Roman"/>
                <w:b/>
                <w:szCs w:val="20"/>
              </w:rPr>
              <w:t xml:space="preserve"> год</w:t>
            </w:r>
          </w:p>
        </w:tc>
        <w:tc>
          <w:tcPr>
            <w:tcW w:w="1702" w:type="dxa"/>
          </w:tcPr>
          <w:p w:rsidR="007B0912"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Удельный вес </w:t>
            </w:r>
            <w:r w:rsidR="006F393A" w:rsidRPr="00F650B7">
              <w:rPr>
                <w:rFonts w:ascii="Times New Roman" w:hAnsi="Times New Roman" w:cs="Times New Roman"/>
                <w:b/>
                <w:szCs w:val="20"/>
              </w:rPr>
              <w:t>в общем объеме безвозмездных поступлений</w:t>
            </w:r>
            <w:r w:rsidR="00CC5A67" w:rsidRPr="00F650B7">
              <w:rPr>
                <w:rFonts w:ascii="Times New Roman" w:hAnsi="Times New Roman" w:cs="Times New Roman"/>
                <w:b/>
                <w:szCs w:val="20"/>
              </w:rPr>
              <w:t>, %</w:t>
            </w:r>
          </w:p>
        </w:tc>
        <w:tc>
          <w:tcPr>
            <w:tcW w:w="1275" w:type="dxa"/>
          </w:tcPr>
          <w:p w:rsidR="007B0912"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20</w:t>
            </w:r>
            <w:r w:rsidRPr="00F650B7">
              <w:rPr>
                <w:rFonts w:ascii="Times New Roman" w:hAnsi="Times New Roman" w:cs="Times New Roman"/>
                <w:b/>
                <w:szCs w:val="20"/>
                <w:lang w:val="en-US"/>
              </w:rPr>
              <w:t>34</w:t>
            </w:r>
            <w:r w:rsidRPr="00F650B7">
              <w:rPr>
                <w:rFonts w:ascii="Times New Roman" w:hAnsi="Times New Roman" w:cs="Times New Roman"/>
                <w:b/>
                <w:szCs w:val="20"/>
              </w:rPr>
              <w:t xml:space="preserve"> год</w:t>
            </w:r>
          </w:p>
        </w:tc>
        <w:tc>
          <w:tcPr>
            <w:tcW w:w="1559" w:type="dxa"/>
          </w:tcPr>
          <w:p w:rsidR="007B0912"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Удельный вес </w:t>
            </w:r>
            <w:r w:rsidR="006F393A" w:rsidRPr="00F650B7">
              <w:rPr>
                <w:rFonts w:ascii="Times New Roman" w:hAnsi="Times New Roman" w:cs="Times New Roman"/>
                <w:b/>
                <w:szCs w:val="20"/>
              </w:rPr>
              <w:t>в общем объеме безвозмездных поступлений</w:t>
            </w:r>
            <w:r w:rsidR="00CC5A67" w:rsidRPr="00F650B7">
              <w:rPr>
                <w:rFonts w:ascii="Times New Roman" w:hAnsi="Times New Roman" w:cs="Times New Roman"/>
                <w:b/>
                <w:szCs w:val="20"/>
              </w:rPr>
              <w:t>, %</w:t>
            </w:r>
          </w:p>
        </w:tc>
        <w:tc>
          <w:tcPr>
            <w:tcW w:w="1701" w:type="dxa"/>
          </w:tcPr>
          <w:p w:rsidR="00C44CB7"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Динамика</w:t>
            </w:r>
          </w:p>
          <w:p w:rsidR="00C44CB7"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 за период</w:t>
            </w:r>
          </w:p>
          <w:p w:rsidR="007B0912" w:rsidRPr="00F650B7" w:rsidRDefault="007B0912" w:rsidP="00D16555">
            <w:pPr>
              <w:pStyle w:val="ConsPlusNormal"/>
              <w:jc w:val="center"/>
              <w:rPr>
                <w:rFonts w:ascii="Times New Roman" w:hAnsi="Times New Roman" w:cs="Times New Roman"/>
                <w:b/>
                <w:szCs w:val="20"/>
              </w:rPr>
            </w:pPr>
            <w:r w:rsidRPr="00F650B7">
              <w:rPr>
                <w:rFonts w:ascii="Times New Roman" w:hAnsi="Times New Roman" w:cs="Times New Roman"/>
                <w:b/>
                <w:szCs w:val="20"/>
              </w:rPr>
              <w:t xml:space="preserve"> 20</w:t>
            </w:r>
            <w:r w:rsidRPr="00F650B7">
              <w:rPr>
                <w:rFonts w:ascii="Times New Roman" w:hAnsi="Times New Roman" w:cs="Times New Roman"/>
                <w:b/>
                <w:szCs w:val="20"/>
                <w:lang w:val="en-US"/>
              </w:rPr>
              <w:t>23</w:t>
            </w:r>
            <w:r w:rsidRPr="00F650B7">
              <w:rPr>
                <w:rFonts w:ascii="Times New Roman" w:hAnsi="Times New Roman" w:cs="Times New Roman"/>
                <w:b/>
                <w:szCs w:val="20"/>
              </w:rPr>
              <w:t>-20</w:t>
            </w:r>
            <w:r w:rsidRPr="00F650B7">
              <w:rPr>
                <w:rFonts w:ascii="Times New Roman" w:hAnsi="Times New Roman" w:cs="Times New Roman"/>
                <w:b/>
                <w:szCs w:val="20"/>
                <w:lang w:val="en-US"/>
              </w:rPr>
              <w:t>34</w:t>
            </w:r>
            <w:r w:rsidRPr="00F650B7">
              <w:rPr>
                <w:rFonts w:ascii="Times New Roman" w:hAnsi="Times New Roman" w:cs="Times New Roman"/>
                <w:b/>
                <w:szCs w:val="20"/>
              </w:rPr>
              <w:t xml:space="preserve"> годов</w:t>
            </w:r>
            <w:r w:rsidR="00CC5A67" w:rsidRPr="00F650B7">
              <w:rPr>
                <w:rFonts w:ascii="Times New Roman" w:hAnsi="Times New Roman" w:cs="Times New Roman"/>
                <w:b/>
                <w:szCs w:val="20"/>
              </w:rPr>
              <w:t>, %</w:t>
            </w:r>
          </w:p>
        </w:tc>
      </w:tr>
      <w:tr w:rsidR="00F650B7" w:rsidRPr="00F650B7" w:rsidTr="00CC38C4">
        <w:trPr>
          <w:trHeight w:val="20"/>
        </w:trPr>
        <w:tc>
          <w:tcPr>
            <w:tcW w:w="2614" w:type="dxa"/>
          </w:tcPr>
          <w:p w:rsidR="00AD150A" w:rsidRPr="00F650B7" w:rsidRDefault="00AD150A" w:rsidP="00D16555">
            <w:pPr>
              <w:pStyle w:val="ConsPlusNormal"/>
              <w:rPr>
                <w:rFonts w:ascii="Times New Roman" w:hAnsi="Times New Roman" w:cs="Times New Roman"/>
                <w:b/>
                <w:szCs w:val="20"/>
              </w:rPr>
            </w:pPr>
            <w:r w:rsidRPr="00F650B7">
              <w:rPr>
                <w:rFonts w:ascii="Times New Roman" w:hAnsi="Times New Roman" w:cs="Times New Roman"/>
                <w:b/>
                <w:szCs w:val="20"/>
              </w:rPr>
              <w:t>Безвозмездные поступления</w:t>
            </w:r>
          </w:p>
        </w:tc>
        <w:tc>
          <w:tcPr>
            <w:tcW w:w="1276" w:type="dxa"/>
          </w:tcPr>
          <w:p w:rsidR="00AD150A" w:rsidRPr="00F650B7" w:rsidRDefault="00AD150A" w:rsidP="004F71AC">
            <w:pPr>
              <w:jc w:val="right"/>
              <w:rPr>
                <w:b/>
                <w:sz w:val="20"/>
                <w:szCs w:val="20"/>
              </w:rPr>
            </w:pPr>
            <w:r w:rsidRPr="00F650B7">
              <w:rPr>
                <w:b/>
                <w:sz w:val="20"/>
                <w:szCs w:val="20"/>
              </w:rPr>
              <w:t>23 772 137,8</w:t>
            </w:r>
          </w:p>
        </w:tc>
        <w:tc>
          <w:tcPr>
            <w:tcW w:w="1702" w:type="dxa"/>
          </w:tcPr>
          <w:p w:rsidR="00AD150A" w:rsidRPr="00F650B7" w:rsidRDefault="00AD150A" w:rsidP="00DE54DF">
            <w:pPr>
              <w:jc w:val="right"/>
              <w:rPr>
                <w:b/>
                <w:sz w:val="20"/>
                <w:szCs w:val="20"/>
              </w:rPr>
            </w:pPr>
            <w:r w:rsidRPr="00F650B7">
              <w:rPr>
                <w:b/>
                <w:sz w:val="20"/>
                <w:szCs w:val="20"/>
              </w:rPr>
              <w:t>100,0</w:t>
            </w:r>
          </w:p>
        </w:tc>
        <w:tc>
          <w:tcPr>
            <w:tcW w:w="1275" w:type="dxa"/>
          </w:tcPr>
          <w:p w:rsidR="00AD150A" w:rsidRPr="00F650B7" w:rsidRDefault="00AD150A" w:rsidP="00AD150A">
            <w:pPr>
              <w:jc w:val="right"/>
              <w:rPr>
                <w:b/>
                <w:sz w:val="20"/>
                <w:szCs w:val="20"/>
              </w:rPr>
            </w:pPr>
            <w:r w:rsidRPr="00F650B7">
              <w:rPr>
                <w:b/>
                <w:sz w:val="20"/>
                <w:szCs w:val="20"/>
              </w:rPr>
              <w:t>19 344 270,5</w:t>
            </w:r>
          </w:p>
        </w:tc>
        <w:tc>
          <w:tcPr>
            <w:tcW w:w="1559" w:type="dxa"/>
          </w:tcPr>
          <w:p w:rsidR="00AD150A" w:rsidRPr="00F650B7" w:rsidRDefault="00AD150A" w:rsidP="00DE54DF">
            <w:pPr>
              <w:jc w:val="right"/>
              <w:rPr>
                <w:b/>
                <w:bCs/>
                <w:sz w:val="20"/>
                <w:szCs w:val="22"/>
                <w:highlight w:val="yellow"/>
              </w:rPr>
            </w:pPr>
            <w:r w:rsidRPr="00F650B7">
              <w:rPr>
                <w:b/>
                <w:bCs/>
                <w:sz w:val="20"/>
                <w:szCs w:val="22"/>
              </w:rPr>
              <w:t>100,0</w:t>
            </w:r>
          </w:p>
        </w:tc>
        <w:tc>
          <w:tcPr>
            <w:tcW w:w="1701" w:type="dxa"/>
          </w:tcPr>
          <w:p w:rsidR="00AD150A" w:rsidRPr="00F650B7" w:rsidRDefault="00AD150A" w:rsidP="00AD150A">
            <w:pPr>
              <w:jc w:val="right"/>
              <w:rPr>
                <w:b/>
                <w:bCs/>
                <w:sz w:val="22"/>
                <w:szCs w:val="22"/>
              </w:rPr>
            </w:pPr>
            <w:r w:rsidRPr="00F650B7">
              <w:rPr>
                <w:b/>
                <w:bCs/>
                <w:sz w:val="22"/>
                <w:szCs w:val="22"/>
              </w:rPr>
              <w:t>81,4</w:t>
            </w:r>
          </w:p>
        </w:tc>
      </w:tr>
      <w:tr w:rsidR="00F650B7" w:rsidRPr="00F650B7" w:rsidTr="00CC38C4">
        <w:trPr>
          <w:trHeight w:val="20"/>
        </w:trPr>
        <w:tc>
          <w:tcPr>
            <w:tcW w:w="2614" w:type="dxa"/>
          </w:tcPr>
          <w:p w:rsidR="00AD150A" w:rsidRPr="00F650B7" w:rsidRDefault="00AD150A" w:rsidP="00D16555">
            <w:pPr>
              <w:pStyle w:val="ConsPlusNormal"/>
              <w:rPr>
                <w:rFonts w:ascii="Times New Roman" w:hAnsi="Times New Roman" w:cs="Times New Roman"/>
                <w:szCs w:val="20"/>
              </w:rPr>
            </w:pPr>
            <w:r w:rsidRPr="00F650B7">
              <w:rPr>
                <w:rFonts w:ascii="Times New Roman" w:hAnsi="Times New Roman" w:cs="Times New Roman"/>
                <w:szCs w:val="20"/>
              </w:rPr>
              <w:t>в том числе из федерального бюджета:</w:t>
            </w:r>
          </w:p>
        </w:tc>
        <w:tc>
          <w:tcPr>
            <w:tcW w:w="1276" w:type="dxa"/>
          </w:tcPr>
          <w:p w:rsidR="00AD150A" w:rsidRPr="00F650B7" w:rsidRDefault="00AD150A" w:rsidP="004F71AC">
            <w:pPr>
              <w:jc w:val="right"/>
              <w:rPr>
                <w:sz w:val="20"/>
                <w:szCs w:val="20"/>
              </w:rPr>
            </w:pPr>
            <w:r w:rsidRPr="00F650B7">
              <w:rPr>
                <w:sz w:val="20"/>
                <w:szCs w:val="20"/>
              </w:rPr>
              <w:t>17 005 274,4</w:t>
            </w:r>
          </w:p>
        </w:tc>
        <w:tc>
          <w:tcPr>
            <w:tcW w:w="1702" w:type="dxa"/>
          </w:tcPr>
          <w:p w:rsidR="00AD150A" w:rsidRPr="00F650B7" w:rsidRDefault="00AD150A" w:rsidP="00DE54DF">
            <w:pPr>
              <w:jc w:val="right"/>
              <w:rPr>
                <w:sz w:val="20"/>
                <w:szCs w:val="20"/>
              </w:rPr>
            </w:pPr>
            <w:r w:rsidRPr="00F650B7">
              <w:rPr>
                <w:sz w:val="20"/>
                <w:szCs w:val="20"/>
              </w:rPr>
              <w:t>71,5</w:t>
            </w:r>
          </w:p>
        </w:tc>
        <w:tc>
          <w:tcPr>
            <w:tcW w:w="1275" w:type="dxa"/>
          </w:tcPr>
          <w:p w:rsidR="00AD150A" w:rsidRPr="00F650B7" w:rsidRDefault="00AD150A" w:rsidP="00AD150A">
            <w:pPr>
              <w:jc w:val="right"/>
              <w:rPr>
                <w:sz w:val="20"/>
                <w:szCs w:val="20"/>
              </w:rPr>
            </w:pPr>
            <w:r w:rsidRPr="00F650B7">
              <w:rPr>
                <w:sz w:val="20"/>
                <w:szCs w:val="20"/>
              </w:rPr>
              <w:t>18 614 782,0</w:t>
            </w:r>
          </w:p>
        </w:tc>
        <w:tc>
          <w:tcPr>
            <w:tcW w:w="1559" w:type="dxa"/>
          </w:tcPr>
          <w:p w:rsidR="00AD150A" w:rsidRPr="00F650B7" w:rsidRDefault="00AD150A" w:rsidP="00CC38C4">
            <w:pPr>
              <w:jc w:val="right"/>
              <w:rPr>
                <w:sz w:val="20"/>
                <w:szCs w:val="20"/>
              </w:rPr>
            </w:pPr>
            <w:r w:rsidRPr="00F650B7">
              <w:rPr>
                <w:sz w:val="20"/>
                <w:szCs w:val="20"/>
              </w:rPr>
              <w:t>96,2</w:t>
            </w:r>
          </w:p>
        </w:tc>
        <w:tc>
          <w:tcPr>
            <w:tcW w:w="1701" w:type="dxa"/>
          </w:tcPr>
          <w:p w:rsidR="00AD150A" w:rsidRPr="00F650B7" w:rsidRDefault="00AD150A" w:rsidP="00AD150A">
            <w:pPr>
              <w:jc w:val="right"/>
              <w:rPr>
                <w:sz w:val="20"/>
                <w:szCs w:val="20"/>
              </w:rPr>
            </w:pPr>
            <w:r w:rsidRPr="00F650B7">
              <w:rPr>
                <w:sz w:val="20"/>
                <w:szCs w:val="20"/>
              </w:rPr>
              <w:t>109,5</w:t>
            </w:r>
          </w:p>
        </w:tc>
      </w:tr>
      <w:tr w:rsidR="00F650B7" w:rsidRPr="00F650B7" w:rsidTr="00CC38C4">
        <w:trPr>
          <w:trHeight w:val="20"/>
        </w:trPr>
        <w:tc>
          <w:tcPr>
            <w:tcW w:w="2614" w:type="dxa"/>
          </w:tcPr>
          <w:p w:rsidR="00AD150A" w:rsidRPr="00F650B7" w:rsidRDefault="00AD150A" w:rsidP="00D16555">
            <w:pPr>
              <w:pStyle w:val="ConsPlusNormal"/>
              <w:rPr>
                <w:rFonts w:ascii="Times New Roman" w:hAnsi="Times New Roman" w:cs="Times New Roman"/>
                <w:szCs w:val="20"/>
              </w:rPr>
            </w:pPr>
            <w:r w:rsidRPr="00F650B7">
              <w:rPr>
                <w:rFonts w:ascii="Times New Roman" w:hAnsi="Times New Roman" w:cs="Times New Roman"/>
                <w:szCs w:val="20"/>
              </w:rPr>
              <w:t>дотации</w:t>
            </w:r>
          </w:p>
        </w:tc>
        <w:tc>
          <w:tcPr>
            <w:tcW w:w="1276" w:type="dxa"/>
          </w:tcPr>
          <w:p w:rsidR="00AD150A" w:rsidRPr="00F650B7" w:rsidRDefault="00AD150A" w:rsidP="004F71AC">
            <w:pPr>
              <w:jc w:val="right"/>
              <w:rPr>
                <w:sz w:val="20"/>
                <w:szCs w:val="20"/>
              </w:rPr>
            </w:pPr>
            <w:r w:rsidRPr="00F650B7">
              <w:rPr>
                <w:sz w:val="20"/>
                <w:szCs w:val="20"/>
              </w:rPr>
              <w:t>205 280,2</w:t>
            </w:r>
          </w:p>
        </w:tc>
        <w:tc>
          <w:tcPr>
            <w:tcW w:w="1702" w:type="dxa"/>
          </w:tcPr>
          <w:p w:rsidR="00AD150A" w:rsidRPr="00F650B7" w:rsidRDefault="00AD150A" w:rsidP="00DE54DF">
            <w:pPr>
              <w:jc w:val="right"/>
              <w:rPr>
                <w:sz w:val="20"/>
                <w:szCs w:val="20"/>
              </w:rPr>
            </w:pPr>
            <w:r w:rsidRPr="00F650B7">
              <w:rPr>
                <w:sz w:val="20"/>
                <w:szCs w:val="20"/>
              </w:rPr>
              <w:t>0,9</w:t>
            </w:r>
          </w:p>
        </w:tc>
        <w:tc>
          <w:tcPr>
            <w:tcW w:w="1275" w:type="dxa"/>
          </w:tcPr>
          <w:p w:rsidR="00AD150A" w:rsidRPr="00F650B7" w:rsidRDefault="00AD150A" w:rsidP="00AD150A">
            <w:pPr>
              <w:jc w:val="right"/>
              <w:rPr>
                <w:sz w:val="20"/>
                <w:szCs w:val="20"/>
              </w:rPr>
            </w:pPr>
            <w:r w:rsidRPr="00F650B7">
              <w:rPr>
                <w:sz w:val="20"/>
                <w:szCs w:val="20"/>
              </w:rPr>
              <w:t>0,0</w:t>
            </w:r>
          </w:p>
        </w:tc>
        <w:tc>
          <w:tcPr>
            <w:tcW w:w="1559" w:type="dxa"/>
          </w:tcPr>
          <w:p w:rsidR="00AD150A" w:rsidRPr="00F650B7" w:rsidRDefault="00AD150A" w:rsidP="00CC38C4">
            <w:pPr>
              <w:jc w:val="right"/>
              <w:rPr>
                <w:sz w:val="20"/>
                <w:szCs w:val="20"/>
              </w:rPr>
            </w:pPr>
            <w:r w:rsidRPr="00F650B7">
              <w:rPr>
                <w:sz w:val="20"/>
                <w:szCs w:val="20"/>
              </w:rPr>
              <w:t>0,0</w:t>
            </w:r>
          </w:p>
        </w:tc>
        <w:tc>
          <w:tcPr>
            <w:tcW w:w="1701" w:type="dxa"/>
          </w:tcPr>
          <w:p w:rsidR="00AD150A" w:rsidRPr="00F650B7" w:rsidRDefault="00AD150A" w:rsidP="00AD150A">
            <w:pPr>
              <w:jc w:val="right"/>
              <w:rPr>
                <w:sz w:val="20"/>
                <w:szCs w:val="20"/>
              </w:rPr>
            </w:pPr>
            <w:r w:rsidRPr="00F650B7">
              <w:rPr>
                <w:sz w:val="20"/>
                <w:szCs w:val="20"/>
              </w:rPr>
              <w:t>0,0</w:t>
            </w:r>
          </w:p>
        </w:tc>
      </w:tr>
      <w:tr w:rsidR="00F650B7" w:rsidRPr="00F650B7" w:rsidTr="00CC38C4">
        <w:trPr>
          <w:trHeight w:val="20"/>
        </w:trPr>
        <w:tc>
          <w:tcPr>
            <w:tcW w:w="2614" w:type="dxa"/>
          </w:tcPr>
          <w:p w:rsidR="00AD150A" w:rsidRPr="00F650B7" w:rsidRDefault="00AD150A" w:rsidP="00D16555">
            <w:pPr>
              <w:pStyle w:val="ConsPlusNormal"/>
              <w:rPr>
                <w:rFonts w:ascii="Times New Roman" w:hAnsi="Times New Roman" w:cs="Times New Roman"/>
                <w:szCs w:val="20"/>
              </w:rPr>
            </w:pPr>
            <w:r w:rsidRPr="00F650B7">
              <w:rPr>
                <w:rFonts w:ascii="Times New Roman" w:hAnsi="Times New Roman" w:cs="Times New Roman"/>
                <w:szCs w:val="20"/>
              </w:rPr>
              <w:t>субсидии</w:t>
            </w:r>
          </w:p>
        </w:tc>
        <w:tc>
          <w:tcPr>
            <w:tcW w:w="1276" w:type="dxa"/>
          </w:tcPr>
          <w:p w:rsidR="00AD150A" w:rsidRPr="00F650B7" w:rsidRDefault="00AD150A" w:rsidP="004F71AC">
            <w:pPr>
              <w:jc w:val="right"/>
              <w:rPr>
                <w:sz w:val="20"/>
                <w:szCs w:val="20"/>
              </w:rPr>
            </w:pPr>
            <w:r w:rsidRPr="00F650B7">
              <w:rPr>
                <w:sz w:val="20"/>
                <w:szCs w:val="20"/>
              </w:rPr>
              <w:t>9 051 510,7</w:t>
            </w:r>
          </w:p>
        </w:tc>
        <w:tc>
          <w:tcPr>
            <w:tcW w:w="1702" w:type="dxa"/>
          </w:tcPr>
          <w:p w:rsidR="00AD150A" w:rsidRPr="00F650B7" w:rsidRDefault="00AD150A" w:rsidP="00DE54DF">
            <w:pPr>
              <w:jc w:val="right"/>
              <w:rPr>
                <w:sz w:val="20"/>
                <w:szCs w:val="20"/>
              </w:rPr>
            </w:pPr>
            <w:r w:rsidRPr="00F650B7">
              <w:rPr>
                <w:sz w:val="20"/>
                <w:szCs w:val="20"/>
              </w:rPr>
              <w:t>38,1</w:t>
            </w:r>
          </w:p>
        </w:tc>
        <w:tc>
          <w:tcPr>
            <w:tcW w:w="1275" w:type="dxa"/>
          </w:tcPr>
          <w:p w:rsidR="00AD150A" w:rsidRPr="00F650B7" w:rsidRDefault="00AD150A" w:rsidP="00AD150A">
            <w:pPr>
              <w:jc w:val="right"/>
              <w:rPr>
                <w:sz w:val="20"/>
                <w:szCs w:val="20"/>
              </w:rPr>
            </w:pPr>
            <w:r w:rsidRPr="00F650B7">
              <w:rPr>
                <w:sz w:val="20"/>
                <w:szCs w:val="20"/>
              </w:rPr>
              <w:t>10 870 645,1</w:t>
            </w:r>
          </w:p>
        </w:tc>
        <w:tc>
          <w:tcPr>
            <w:tcW w:w="1559" w:type="dxa"/>
          </w:tcPr>
          <w:p w:rsidR="00AD150A" w:rsidRPr="00F650B7" w:rsidRDefault="00AD150A" w:rsidP="00CC38C4">
            <w:pPr>
              <w:jc w:val="right"/>
              <w:rPr>
                <w:sz w:val="20"/>
                <w:szCs w:val="20"/>
              </w:rPr>
            </w:pPr>
            <w:r w:rsidRPr="00F650B7">
              <w:rPr>
                <w:sz w:val="20"/>
                <w:szCs w:val="20"/>
              </w:rPr>
              <w:t>56,2</w:t>
            </w:r>
          </w:p>
        </w:tc>
        <w:tc>
          <w:tcPr>
            <w:tcW w:w="1701" w:type="dxa"/>
          </w:tcPr>
          <w:p w:rsidR="00AD150A" w:rsidRPr="00F650B7" w:rsidRDefault="00AD150A" w:rsidP="00AD150A">
            <w:pPr>
              <w:jc w:val="right"/>
              <w:rPr>
                <w:sz w:val="20"/>
                <w:szCs w:val="20"/>
              </w:rPr>
            </w:pPr>
            <w:r w:rsidRPr="00F650B7">
              <w:rPr>
                <w:sz w:val="20"/>
                <w:szCs w:val="20"/>
              </w:rPr>
              <w:t>120,1</w:t>
            </w:r>
          </w:p>
        </w:tc>
      </w:tr>
      <w:tr w:rsidR="00F650B7" w:rsidRPr="00F650B7" w:rsidTr="00CC38C4">
        <w:trPr>
          <w:trHeight w:val="20"/>
        </w:trPr>
        <w:tc>
          <w:tcPr>
            <w:tcW w:w="2614" w:type="dxa"/>
          </w:tcPr>
          <w:p w:rsidR="00AD150A" w:rsidRPr="00F650B7" w:rsidRDefault="00AD150A" w:rsidP="00D16555">
            <w:pPr>
              <w:pStyle w:val="ConsPlusNormal"/>
              <w:rPr>
                <w:rFonts w:ascii="Times New Roman" w:hAnsi="Times New Roman" w:cs="Times New Roman"/>
                <w:szCs w:val="20"/>
              </w:rPr>
            </w:pPr>
            <w:r w:rsidRPr="00F650B7">
              <w:rPr>
                <w:rFonts w:ascii="Times New Roman" w:hAnsi="Times New Roman" w:cs="Times New Roman"/>
                <w:szCs w:val="20"/>
              </w:rPr>
              <w:t>субвенции</w:t>
            </w:r>
          </w:p>
        </w:tc>
        <w:tc>
          <w:tcPr>
            <w:tcW w:w="1276" w:type="dxa"/>
          </w:tcPr>
          <w:p w:rsidR="00AD150A" w:rsidRPr="00F650B7" w:rsidRDefault="00AD150A" w:rsidP="004F71AC">
            <w:pPr>
              <w:jc w:val="right"/>
              <w:rPr>
                <w:sz w:val="20"/>
                <w:szCs w:val="20"/>
              </w:rPr>
            </w:pPr>
            <w:r w:rsidRPr="00F650B7">
              <w:rPr>
                <w:sz w:val="20"/>
                <w:szCs w:val="20"/>
              </w:rPr>
              <w:t>3 137 970,6</w:t>
            </w:r>
          </w:p>
        </w:tc>
        <w:tc>
          <w:tcPr>
            <w:tcW w:w="1702" w:type="dxa"/>
          </w:tcPr>
          <w:p w:rsidR="00AD150A" w:rsidRPr="00F650B7" w:rsidRDefault="00AD150A" w:rsidP="00DE54DF">
            <w:pPr>
              <w:jc w:val="right"/>
              <w:rPr>
                <w:sz w:val="20"/>
                <w:szCs w:val="20"/>
              </w:rPr>
            </w:pPr>
            <w:r w:rsidRPr="00F650B7">
              <w:rPr>
                <w:sz w:val="20"/>
                <w:szCs w:val="20"/>
              </w:rPr>
              <w:t>13,2</w:t>
            </w:r>
          </w:p>
        </w:tc>
        <w:tc>
          <w:tcPr>
            <w:tcW w:w="1275" w:type="dxa"/>
          </w:tcPr>
          <w:p w:rsidR="00AD150A" w:rsidRPr="00F650B7" w:rsidRDefault="00AD150A" w:rsidP="00AD150A">
            <w:pPr>
              <w:jc w:val="right"/>
              <w:rPr>
                <w:sz w:val="20"/>
                <w:szCs w:val="20"/>
              </w:rPr>
            </w:pPr>
            <w:r w:rsidRPr="00F650B7">
              <w:rPr>
                <w:sz w:val="20"/>
                <w:szCs w:val="20"/>
              </w:rPr>
              <w:t>5 979 060,0</w:t>
            </w:r>
          </w:p>
        </w:tc>
        <w:tc>
          <w:tcPr>
            <w:tcW w:w="1559" w:type="dxa"/>
          </w:tcPr>
          <w:p w:rsidR="00AD150A" w:rsidRPr="00F650B7" w:rsidRDefault="00AD150A" w:rsidP="00CC38C4">
            <w:pPr>
              <w:jc w:val="right"/>
              <w:rPr>
                <w:sz w:val="20"/>
                <w:szCs w:val="20"/>
              </w:rPr>
            </w:pPr>
            <w:r w:rsidRPr="00F650B7">
              <w:rPr>
                <w:sz w:val="20"/>
                <w:szCs w:val="20"/>
              </w:rPr>
              <w:t>30,9</w:t>
            </w:r>
          </w:p>
        </w:tc>
        <w:tc>
          <w:tcPr>
            <w:tcW w:w="1701" w:type="dxa"/>
          </w:tcPr>
          <w:p w:rsidR="00AD150A" w:rsidRPr="00F650B7" w:rsidRDefault="00AD150A" w:rsidP="00AD150A">
            <w:pPr>
              <w:jc w:val="right"/>
              <w:rPr>
                <w:sz w:val="20"/>
                <w:szCs w:val="20"/>
              </w:rPr>
            </w:pPr>
            <w:r w:rsidRPr="00F650B7">
              <w:rPr>
                <w:sz w:val="20"/>
                <w:szCs w:val="20"/>
              </w:rPr>
              <w:t>190,5</w:t>
            </w:r>
          </w:p>
        </w:tc>
      </w:tr>
      <w:tr w:rsidR="00AD150A" w:rsidRPr="00F650B7" w:rsidTr="00CC38C4">
        <w:trPr>
          <w:trHeight w:val="20"/>
        </w:trPr>
        <w:tc>
          <w:tcPr>
            <w:tcW w:w="2614" w:type="dxa"/>
          </w:tcPr>
          <w:p w:rsidR="00AD150A" w:rsidRPr="00F650B7" w:rsidRDefault="00AD150A" w:rsidP="00D16555">
            <w:pPr>
              <w:pStyle w:val="ConsPlusNormal"/>
              <w:rPr>
                <w:rFonts w:ascii="Times New Roman" w:hAnsi="Times New Roman" w:cs="Times New Roman"/>
                <w:szCs w:val="20"/>
              </w:rPr>
            </w:pPr>
            <w:r w:rsidRPr="00F650B7">
              <w:rPr>
                <w:rFonts w:ascii="Times New Roman" w:hAnsi="Times New Roman" w:cs="Times New Roman"/>
                <w:szCs w:val="20"/>
              </w:rPr>
              <w:t>иные межбюджетные трансферты</w:t>
            </w:r>
          </w:p>
        </w:tc>
        <w:tc>
          <w:tcPr>
            <w:tcW w:w="1276" w:type="dxa"/>
          </w:tcPr>
          <w:p w:rsidR="00AD150A" w:rsidRPr="00F650B7" w:rsidRDefault="00AD150A" w:rsidP="004F71AC">
            <w:pPr>
              <w:jc w:val="right"/>
              <w:rPr>
                <w:sz w:val="20"/>
                <w:szCs w:val="20"/>
              </w:rPr>
            </w:pPr>
            <w:r w:rsidRPr="00F650B7">
              <w:rPr>
                <w:sz w:val="20"/>
                <w:szCs w:val="20"/>
              </w:rPr>
              <w:t>4 610 512,9</w:t>
            </w:r>
          </w:p>
        </w:tc>
        <w:tc>
          <w:tcPr>
            <w:tcW w:w="1702" w:type="dxa"/>
          </w:tcPr>
          <w:p w:rsidR="00AD150A" w:rsidRPr="00F650B7" w:rsidRDefault="00AD150A" w:rsidP="00DE54DF">
            <w:pPr>
              <w:jc w:val="right"/>
              <w:rPr>
                <w:sz w:val="20"/>
                <w:szCs w:val="20"/>
              </w:rPr>
            </w:pPr>
            <w:r w:rsidRPr="00F650B7">
              <w:rPr>
                <w:sz w:val="20"/>
                <w:szCs w:val="20"/>
              </w:rPr>
              <w:t>19,4</w:t>
            </w:r>
          </w:p>
        </w:tc>
        <w:tc>
          <w:tcPr>
            <w:tcW w:w="1275" w:type="dxa"/>
          </w:tcPr>
          <w:p w:rsidR="00AD150A" w:rsidRPr="00F650B7" w:rsidRDefault="00AD150A" w:rsidP="00AD150A">
            <w:pPr>
              <w:jc w:val="right"/>
              <w:rPr>
                <w:sz w:val="20"/>
                <w:szCs w:val="20"/>
              </w:rPr>
            </w:pPr>
            <w:r w:rsidRPr="00F650B7">
              <w:rPr>
                <w:sz w:val="20"/>
                <w:szCs w:val="20"/>
              </w:rPr>
              <w:t>1 765 076,9</w:t>
            </w:r>
          </w:p>
        </w:tc>
        <w:tc>
          <w:tcPr>
            <w:tcW w:w="1559" w:type="dxa"/>
          </w:tcPr>
          <w:p w:rsidR="00AD150A" w:rsidRPr="00F650B7" w:rsidRDefault="00AD150A" w:rsidP="00CC38C4">
            <w:pPr>
              <w:jc w:val="right"/>
              <w:rPr>
                <w:sz w:val="20"/>
                <w:szCs w:val="20"/>
              </w:rPr>
            </w:pPr>
            <w:r w:rsidRPr="00F650B7">
              <w:rPr>
                <w:sz w:val="20"/>
                <w:szCs w:val="20"/>
              </w:rPr>
              <w:t>9,1</w:t>
            </w:r>
          </w:p>
        </w:tc>
        <w:tc>
          <w:tcPr>
            <w:tcW w:w="1701" w:type="dxa"/>
          </w:tcPr>
          <w:p w:rsidR="00AD150A" w:rsidRPr="00F650B7" w:rsidRDefault="00AD150A" w:rsidP="00AD150A">
            <w:pPr>
              <w:jc w:val="right"/>
              <w:rPr>
                <w:sz w:val="20"/>
                <w:szCs w:val="20"/>
              </w:rPr>
            </w:pPr>
            <w:r w:rsidRPr="00F650B7">
              <w:rPr>
                <w:sz w:val="20"/>
                <w:szCs w:val="20"/>
              </w:rPr>
              <w:t>38,3</w:t>
            </w:r>
          </w:p>
        </w:tc>
      </w:tr>
    </w:tbl>
    <w:p w:rsidR="00D70A87" w:rsidRPr="00F650B7" w:rsidRDefault="00D70A87" w:rsidP="00D16555">
      <w:pPr>
        <w:pStyle w:val="ConsPlusNormal"/>
        <w:ind w:firstLine="709"/>
        <w:rPr>
          <w:highlight w:val="yellow"/>
        </w:rPr>
      </w:pPr>
    </w:p>
    <w:p w:rsidR="00FF0B04" w:rsidRPr="00F650B7" w:rsidRDefault="00FF0B04"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Отрицательная динамика безвозмездных поступлений в 2023-2034 годах в основном обусловлена отсутствием прогнозируемых поступлений от Публично-правовой компании "Фонд развития территорий" в долгосрочном периоде.</w:t>
      </w: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В структуре безвозмездных поступлений основной удельный вес занимают средства </w:t>
      </w:r>
      <w:r w:rsidR="000276EE" w:rsidRPr="00F650B7">
        <w:rPr>
          <w:rFonts w:ascii="Times New Roman" w:hAnsi="Times New Roman" w:cs="Times New Roman"/>
          <w:sz w:val="28"/>
          <w:szCs w:val="28"/>
        </w:rPr>
        <w:t>из федерального бюджета</w:t>
      </w:r>
      <w:r w:rsidR="007B0912" w:rsidRPr="00F650B7">
        <w:rPr>
          <w:rFonts w:ascii="Times New Roman" w:hAnsi="Times New Roman" w:cs="Times New Roman"/>
          <w:sz w:val="28"/>
          <w:szCs w:val="28"/>
        </w:rPr>
        <w:t xml:space="preserve">, которые </w:t>
      </w:r>
      <w:r w:rsidRPr="00F650B7">
        <w:rPr>
          <w:rFonts w:ascii="Times New Roman" w:hAnsi="Times New Roman" w:cs="Times New Roman"/>
          <w:sz w:val="28"/>
          <w:szCs w:val="28"/>
        </w:rPr>
        <w:t>составляют к 20</w:t>
      </w:r>
      <w:r w:rsidR="007B0912"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году </w:t>
      </w:r>
      <w:r w:rsidR="000276EE" w:rsidRPr="00F650B7">
        <w:rPr>
          <w:rFonts w:ascii="Times New Roman" w:hAnsi="Times New Roman" w:cs="Times New Roman"/>
          <w:sz w:val="28"/>
          <w:szCs w:val="28"/>
        </w:rPr>
        <w:t>9</w:t>
      </w:r>
      <w:r w:rsidR="00DE54DF" w:rsidRPr="00F650B7">
        <w:rPr>
          <w:rFonts w:ascii="Times New Roman" w:hAnsi="Times New Roman" w:cs="Times New Roman"/>
          <w:sz w:val="28"/>
          <w:szCs w:val="28"/>
        </w:rPr>
        <w:t>6</w:t>
      </w:r>
      <w:r w:rsidR="00D16555" w:rsidRPr="00F650B7">
        <w:rPr>
          <w:rFonts w:ascii="Times New Roman" w:hAnsi="Times New Roman" w:cs="Times New Roman"/>
          <w:sz w:val="28"/>
          <w:szCs w:val="28"/>
        </w:rPr>
        <w:t>,</w:t>
      </w:r>
      <w:r w:rsidR="00526A87" w:rsidRPr="00F650B7">
        <w:rPr>
          <w:rFonts w:ascii="Times New Roman" w:hAnsi="Times New Roman" w:cs="Times New Roman"/>
          <w:sz w:val="28"/>
          <w:szCs w:val="28"/>
        </w:rPr>
        <w:t>2</w:t>
      </w:r>
      <w:r w:rsidRPr="00F650B7">
        <w:rPr>
          <w:rFonts w:ascii="Times New Roman" w:hAnsi="Times New Roman" w:cs="Times New Roman"/>
          <w:sz w:val="28"/>
          <w:szCs w:val="28"/>
        </w:rPr>
        <w:t xml:space="preserve">% от общей суммы безвозмездных поступлений. </w:t>
      </w:r>
    </w:p>
    <w:p w:rsidR="009F44EB" w:rsidRPr="00F650B7" w:rsidRDefault="00FF0B04"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Рост субсидий из федерального бюджета за период 2023-</w:t>
      </w:r>
      <w:r w:rsidR="00D70A87" w:rsidRPr="00F650B7">
        <w:rPr>
          <w:rFonts w:ascii="Times New Roman" w:hAnsi="Times New Roman" w:cs="Times New Roman"/>
          <w:sz w:val="28"/>
          <w:szCs w:val="28"/>
        </w:rPr>
        <w:t>20</w:t>
      </w:r>
      <w:r w:rsidR="00B554C6" w:rsidRPr="00F650B7">
        <w:rPr>
          <w:rFonts w:ascii="Times New Roman" w:hAnsi="Times New Roman" w:cs="Times New Roman"/>
          <w:sz w:val="28"/>
          <w:szCs w:val="28"/>
        </w:rPr>
        <w:t>34</w:t>
      </w:r>
      <w:r w:rsidR="00D70A87" w:rsidRPr="00F650B7">
        <w:rPr>
          <w:rFonts w:ascii="Times New Roman" w:hAnsi="Times New Roman" w:cs="Times New Roman"/>
          <w:sz w:val="28"/>
          <w:szCs w:val="28"/>
        </w:rPr>
        <w:t xml:space="preserve"> </w:t>
      </w:r>
      <w:r w:rsidRPr="00F650B7">
        <w:rPr>
          <w:rFonts w:ascii="Times New Roman" w:hAnsi="Times New Roman" w:cs="Times New Roman"/>
          <w:sz w:val="28"/>
          <w:szCs w:val="28"/>
        </w:rPr>
        <w:t>годов составит 120,1%</w:t>
      </w:r>
      <w:r w:rsidR="00D70A87" w:rsidRPr="00F650B7">
        <w:rPr>
          <w:rFonts w:ascii="Times New Roman" w:hAnsi="Times New Roman" w:cs="Times New Roman"/>
          <w:sz w:val="28"/>
          <w:szCs w:val="28"/>
        </w:rPr>
        <w:t xml:space="preserve">, </w:t>
      </w:r>
      <w:r w:rsidR="000276EE" w:rsidRPr="00F650B7">
        <w:rPr>
          <w:rFonts w:ascii="Times New Roman" w:hAnsi="Times New Roman" w:cs="Times New Roman"/>
          <w:sz w:val="28"/>
          <w:szCs w:val="28"/>
        </w:rPr>
        <w:t xml:space="preserve">субвенций – </w:t>
      </w:r>
      <w:r w:rsidRPr="00F650B7">
        <w:rPr>
          <w:rFonts w:ascii="Times New Roman" w:hAnsi="Times New Roman" w:cs="Times New Roman"/>
          <w:sz w:val="28"/>
          <w:szCs w:val="28"/>
        </w:rPr>
        <w:t>190,5%</w:t>
      </w:r>
      <w:r w:rsidR="00472780" w:rsidRPr="00F650B7">
        <w:rPr>
          <w:rFonts w:ascii="Times New Roman" w:hAnsi="Times New Roman" w:cs="Times New Roman"/>
          <w:sz w:val="28"/>
          <w:szCs w:val="28"/>
        </w:rPr>
        <w:t>, п</w:t>
      </w:r>
      <w:r w:rsidRPr="00F650B7">
        <w:rPr>
          <w:rFonts w:ascii="Times New Roman" w:hAnsi="Times New Roman" w:cs="Times New Roman"/>
          <w:sz w:val="28"/>
          <w:szCs w:val="28"/>
        </w:rPr>
        <w:t>оступление и</w:t>
      </w:r>
      <w:r w:rsidR="00D70A87" w:rsidRPr="00F650B7">
        <w:rPr>
          <w:rFonts w:ascii="Times New Roman" w:hAnsi="Times New Roman" w:cs="Times New Roman"/>
          <w:sz w:val="28"/>
          <w:szCs w:val="28"/>
        </w:rPr>
        <w:t>ны</w:t>
      </w:r>
      <w:r w:rsidR="00472780" w:rsidRPr="00F650B7">
        <w:rPr>
          <w:rFonts w:ascii="Times New Roman" w:hAnsi="Times New Roman" w:cs="Times New Roman"/>
          <w:sz w:val="28"/>
          <w:szCs w:val="28"/>
        </w:rPr>
        <w:t>х</w:t>
      </w:r>
      <w:r w:rsidR="00D70A87" w:rsidRPr="00F650B7">
        <w:rPr>
          <w:rFonts w:ascii="Times New Roman" w:hAnsi="Times New Roman" w:cs="Times New Roman"/>
          <w:sz w:val="28"/>
          <w:szCs w:val="28"/>
        </w:rPr>
        <w:t xml:space="preserve"> межбюджетны</w:t>
      </w:r>
      <w:r w:rsidR="00472780" w:rsidRPr="00F650B7">
        <w:rPr>
          <w:rFonts w:ascii="Times New Roman" w:hAnsi="Times New Roman" w:cs="Times New Roman"/>
          <w:sz w:val="28"/>
          <w:szCs w:val="28"/>
        </w:rPr>
        <w:t>х</w:t>
      </w:r>
      <w:r w:rsidR="00D70A87" w:rsidRPr="00F650B7">
        <w:rPr>
          <w:rFonts w:ascii="Times New Roman" w:hAnsi="Times New Roman" w:cs="Times New Roman"/>
          <w:sz w:val="28"/>
          <w:szCs w:val="28"/>
        </w:rPr>
        <w:t xml:space="preserve"> трансферт</w:t>
      </w:r>
      <w:r w:rsidRPr="00F650B7">
        <w:rPr>
          <w:rFonts w:ascii="Times New Roman" w:hAnsi="Times New Roman" w:cs="Times New Roman"/>
          <w:sz w:val="28"/>
          <w:szCs w:val="28"/>
        </w:rPr>
        <w:t>ов из федерального бюджета</w:t>
      </w:r>
      <w:r w:rsidR="00D70A87" w:rsidRPr="00F650B7">
        <w:rPr>
          <w:rFonts w:ascii="Times New Roman" w:hAnsi="Times New Roman" w:cs="Times New Roman"/>
          <w:sz w:val="28"/>
          <w:szCs w:val="28"/>
        </w:rPr>
        <w:t xml:space="preserve"> </w:t>
      </w:r>
      <w:r w:rsidR="00472780" w:rsidRPr="00F650B7">
        <w:rPr>
          <w:rFonts w:ascii="Times New Roman" w:hAnsi="Times New Roman" w:cs="Times New Roman"/>
          <w:sz w:val="28"/>
          <w:szCs w:val="28"/>
        </w:rPr>
        <w:t>составит 38,3%</w:t>
      </w:r>
      <w:r w:rsidR="00D70A87" w:rsidRPr="00F650B7">
        <w:rPr>
          <w:rFonts w:ascii="Times New Roman" w:hAnsi="Times New Roman" w:cs="Times New Roman"/>
          <w:sz w:val="28"/>
          <w:szCs w:val="28"/>
        </w:rPr>
        <w:t>.</w:t>
      </w:r>
    </w:p>
    <w:p w:rsidR="009F44EB" w:rsidRPr="00F650B7" w:rsidRDefault="009F44EB" w:rsidP="00D16555">
      <w:pPr>
        <w:autoSpaceDE w:val="0"/>
        <w:autoSpaceDN w:val="0"/>
        <w:adjustRightInd w:val="0"/>
        <w:ind w:firstLine="709"/>
        <w:jc w:val="both"/>
        <w:rPr>
          <w:rFonts w:eastAsiaTheme="minorEastAsia"/>
          <w:sz w:val="28"/>
          <w:szCs w:val="28"/>
        </w:rPr>
      </w:pPr>
      <w:r w:rsidRPr="00F650B7">
        <w:rPr>
          <w:rFonts w:eastAsiaTheme="minorEastAsia"/>
          <w:sz w:val="28"/>
          <w:szCs w:val="28"/>
        </w:rPr>
        <w:t xml:space="preserve">Уменьшение </w:t>
      </w:r>
      <w:r w:rsidR="00472780" w:rsidRPr="00F650B7">
        <w:rPr>
          <w:rFonts w:eastAsiaTheme="minorEastAsia"/>
          <w:sz w:val="28"/>
          <w:szCs w:val="28"/>
        </w:rPr>
        <w:t xml:space="preserve">объема поступления </w:t>
      </w:r>
      <w:r w:rsidRPr="00F650B7">
        <w:rPr>
          <w:rFonts w:eastAsiaTheme="minorEastAsia"/>
          <w:sz w:val="28"/>
          <w:szCs w:val="28"/>
        </w:rPr>
        <w:t>иных межбюджетных трансфертов обусловлено совершенствованием механизма предоставления целевых межбюджетных трансфертов из федерального бюджета: перевод иных межбюджетных трансфертов в субсидии как более прозрачный механизм государственной поддержки.</w:t>
      </w:r>
    </w:p>
    <w:p w:rsidR="00260291" w:rsidRPr="00F650B7" w:rsidRDefault="00260291" w:rsidP="00D16555">
      <w:pPr>
        <w:autoSpaceDE w:val="0"/>
        <w:autoSpaceDN w:val="0"/>
        <w:adjustRightInd w:val="0"/>
        <w:ind w:firstLine="709"/>
        <w:jc w:val="both"/>
        <w:rPr>
          <w:rFonts w:eastAsiaTheme="minorEastAsia"/>
          <w:sz w:val="28"/>
          <w:szCs w:val="28"/>
          <w:highlight w:val="yellow"/>
        </w:rPr>
      </w:pPr>
    </w:p>
    <w:p w:rsidR="00D70A87" w:rsidRPr="00F650B7" w:rsidRDefault="00D70A87" w:rsidP="00207416">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Структура и динамика расходной части областного бюджета Ленинградской области за период 20</w:t>
      </w:r>
      <w:r w:rsidR="008E0E63" w:rsidRPr="00F650B7">
        <w:rPr>
          <w:rFonts w:ascii="Times New Roman" w:hAnsi="Times New Roman" w:cs="Times New Roman"/>
          <w:sz w:val="28"/>
          <w:szCs w:val="28"/>
        </w:rPr>
        <w:t>23-2034</w:t>
      </w:r>
      <w:r w:rsidRPr="00F650B7">
        <w:rPr>
          <w:rFonts w:ascii="Times New Roman" w:hAnsi="Times New Roman" w:cs="Times New Roman"/>
          <w:sz w:val="28"/>
          <w:szCs w:val="28"/>
        </w:rPr>
        <w:t xml:space="preserve"> годов характеризуются следующими показателями:</w:t>
      </w:r>
    </w:p>
    <w:p w:rsidR="004D4A39" w:rsidRPr="00F650B7" w:rsidRDefault="004D4A39" w:rsidP="00207416">
      <w:pPr>
        <w:pStyle w:val="ConsPlusNormal"/>
        <w:ind w:firstLine="709"/>
        <w:jc w:val="both"/>
        <w:rPr>
          <w:rFonts w:ascii="Times New Roman" w:hAnsi="Times New Roman" w:cs="Times New Roman"/>
          <w:sz w:val="28"/>
          <w:szCs w:val="28"/>
        </w:rPr>
      </w:pPr>
    </w:p>
    <w:p w:rsidR="00D70A87" w:rsidRPr="00F650B7" w:rsidRDefault="00B070BC" w:rsidP="00D16555">
      <w:pPr>
        <w:pStyle w:val="ConsPlusNormal"/>
        <w:ind w:firstLine="709"/>
        <w:jc w:val="right"/>
        <w:rPr>
          <w:rFonts w:ascii="Times New Roman" w:hAnsi="Times New Roman" w:cs="Times New Roman"/>
          <w:szCs w:val="20"/>
        </w:rPr>
      </w:pPr>
      <w:r w:rsidRPr="00F650B7">
        <w:rPr>
          <w:rFonts w:ascii="Times New Roman" w:hAnsi="Times New Roman" w:cs="Times New Roman"/>
          <w:szCs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1276"/>
        <w:gridCol w:w="1418"/>
        <w:gridCol w:w="1559"/>
        <w:gridCol w:w="1559"/>
        <w:gridCol w:w="1559"/>
      </w:tblGrid>
      <w:tr w:rsidR="00F650B7" w:rsidRPr="00F650B7" w:rsidTr="00982E0E">
        <w:trPr>
          <w:trHeight w:val="1025"/>
        </w:trPr>
        <w:tc>
          <w:tcPr>
            <w:tcW w:w="2897" w:type="dxa"/>
          </w:tcPr>
          <w:p w:rsidR="00D70A8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Показатель</w:t>
            </w:r>
          </w:p>
        </w:tc>
        <w:tc>
          <w:tcPr>
            <w:tcW w:w="1276" w:type="dxa"/>
          </w:tcPr>
          <w:p w:rsidR="00D70A8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20</w:t>
            </w:r>
            <w:r w:rsidR="008E0E63" w:rsidRPr="00F650B7">
              <w:rPr>
                <w:rFonts w:ascii="Times New Roman" w:hAnsi="Times New Roman" w:cs="Times New Roman"/>
                <w:b/>
                <w:sz w:val="22"/>
              </w:rPr>
              <w:t>23</w:t>
            </w:r>
            <w:r w:rsidRPr="00F650B7">
              <w:rPr>
                <w:rFonts w:ascii="Times New Roman" w:hAnsi="Times New Roman" w:cs="Times New Roman"/>
                <w:b/>
                <w:sz w:val="22"/>
              </w:rPr>
              <w:t xml:space="preserve"> год</w:t>
            </w:r>
          </w:p>
        </w:tc>
        <w:tc>
          <w:tcPr>
            <w:tcW w:w="1418" w:type="dxa"/>
          </w:tcPr>
          <w:p w:rsidR="00D70A8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Удельный вес в общем объеме расходов</w:t>
            </w:r>
            <w:r w:rsidR="00CC5A67" w:rsidRPr="00F650B7">
              <w:rPr>
                <w:rFonts w:ascii="Times New Roman" w:hAnsi="Times New Roman" w:cs="Times New Roman"/>
                <w:b/>
                <w:sz w:val="22"/>
              </w:rPr>
              <w:t>, %</w:t>
            </w:r>
          </w:p>
        </w:tc>
        <w:tc>
          <w:tcPr>
            <w:tcW w:w="1559" w:type="dxa"/>
          </w:tcPr>
          <w:p w:rsidR="00D70A8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20</w:t>
            </w:r>
            <w:r w:rsidR="008E0E63" w:rsidRPr="00F650B7">
              <w:rPr>
                <w:rFonts w:ascii="Times New Roman" w:hAnsi="Times New Roman" w:cs="Times New Roman"/>
                <w:b/>
                <w:sz w:val="22"/>
              </w:rPr>
              <w:t>34</w:t>
            </w:r>
            <w:r w:rsidRPr="00F650B7">
              <w:rPr>
                <w:rFonts w:ascii="Times New Roman" w:hAnsi="Times New Roman" w:cs="Times New Roman"/>
                <w:b/>
                <w:sz w:val="22"/>
              </w:rPr>
              <w:t xml:space="preserve"> год</w:t>
            </w:r>
          </w:p>
        </w:tc>
        <w:tc>
          <w:tcPr>
            <w:tcW w:w="1559" w:type="dxa"/>
          </w:tcPr>
          <w:p w:rsidR="00D70A8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Удельный вес в общем объеме расходов</w:t>
            </w:r>
            <w:r w:rsidR="00CC5A67" w:rsidRPr="00F650B7">
              <w:rPr>
                <w:rFonts w:ascii="Times New Roman" w:hAnsi="Times New Roman" w:cs="Times New Roman"/>
                <w:b/>
                <w:sz w:val="22"/>
              </w:rPr>
              <w:t>, %</w:t>
            </w:r>
          </w:p>
        </w:tc>
        <w:tc>
          <w:tcPr>
            <w:tcW w:w="1559" w:type="dxa"/>
          </w:tcPr>
          <w:p w:rsidR="00C44CB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Динамика</w:t>
            </w:r>
          </w:p>
          <w:p w:rsidR="00C44CB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 xml:space="preserve"> за период </w:t>
            </w:r>
          </w:p>
          <w:p w:rsidR="00D70A87" w:rsidRPr="00F650B7" w:rsidRDefault="00D70A87" w:rsidP="00D16555">
            <w:pPr>
              <w:pStyle w:val="ConsPlusNormal"/>
              <w:jc w:val="center"/>
              <w:rPr>
                <w:rFonts w:ascii="Times New Roman" w:hAnsi="Times New Roman" w:cs="Times New Roman"/>
                <w:b/>
                <w:sz w:val="22"/>
              </w:rPr>
            </w:pPr>
            <w:r w:rsidRPr="00F650B7">
              <w:rPr>
                <w:rFonts w:ascii="Times New Roman" w:hAnsi="Times New Roman" w:cs="Times New Roman"/>
                <w:b/>
                <w:sz w:val="22"/>
              </w:rPr>
              <w:t>20</w:t>
            </w:r>
            <w:r w:rsidR="00B355A6" w:rsidRPr="00F650B7">
              <w:rPr>
                <w:rFonts w:ascii="Times New Roman" w:hAnsi="Times New Roman" w:cs="Times New Roman"/>
                <w:b/>
                <w:sz w:val="22"/>
              </w:rPr>
              <w:t>23</w:t>
            </w:r>
            <w:r w:rsidRPr="00F650B7">
              <w:rPr>
                <w:rFonts w:ascii="Times New Roman" w:hAnsi="Times New Roman" w:cs="Times New Roman"/>
                <w:b/>
                <w:sz w:val="22"/>
              </w:rPr>
              <w:t>-20</w:t>
            </w:r>
            <w:r w:rsidR="00B355A6" w:rsidRPr="00F650B7">
              <w:rPr>
                <w:rFonts w:ascii="Times New Roman" w:hAnsi="Times New Roman" w:cs="Times New Roman"/>
                <w:b/>
                <w:sz w:val="22"/>
              </w:rPr>
              <w:t>34</w:t>
            </w:r>
            <w:r w:rsidRPr="00F650B7">
              <w:rPr>
                <w:rFonts w:ascii="Times New Roman" w:hAnsi="Times New Roman" w:cs="Times New Roman"/>
                <w:b/>
                <w:sz w:val="22"/>
              </w:rPr>
              <w:t xml:space="preserve"> годов</w:t>
            </w:r>
            <w:r w:rsidR="00CC5A67" w:rsidRPr="00F650B7">
              <w:rPr>
                <w:rFonts w:ascii="Times New Roman" w:hAnsi="Times New Roman" w:cs="Times New Roman"/>
                <w:b/>
                <w:sz w:val="22"/>
              </w:rPr>
              <w:t>, %</w:t>
            </w:r>
          </w:p>
        </w:tc>
      </w:tr>
      <w:tr w:rsidR="00F650B7" w:rsidRPr="00F650B7" w:rsidTr="00341307">
        <w:trPr>
          <w:trHeight w:val="268"/>
        </w:trPr>
        <w:tc>
          <w:tcPr>
            <w:tcW w:w="2897" w:type="dxa"/>
          </w:tcPr>
          <w:p w:rsidR="00341307" w:rsidRPr="00F650B7" w:rsidRDefault="00341307" w:rsidP="00D16555">
            <w:pPr>
              <w:pStyle w:val="ConsPlusNormal"/>
              <w:rPr>
                <w:rFonts w:ascii="Times New Roman" w:hAnsi="Times New Roman" w:cs="Times New Roman"/>
                <w:b/>
                <w:sz w:val="22"/>
              </w:rPr>
            </w:pPr>
            <w:r w:rsidRPr="00F650B7">
              <w:rPr>
                <w:rFonts w:ascii="Times New Roman" w:hAnsi="Times New Roman" w:cs="Times New Roman"/>
                <w:b/>
                <w:sz w:val="22"/>
              </w:rPr>
              <w:t>Расходы</w:t>
            </w:r>
          </w:p>
        </w:tc>
        <w:tc>
          <w:tcPr>
            <w:tcW w:w="1276" w:type="dxa"/>
            <w:vAlign w:val="center"/>
          </w:tcPr>
          <w:p w:rsidR="00341307" w:rsidRPr="00F650B7" w:rsidRDefault="00341307" w:rsidP="00D16555">
            <w:pPr>
              <w:pStyle w:val="ConsPlusNormal"/>
              <w:jc w:val="right"/>
              <w:rPr>
                <w:rFonts w:ascii="Times New Roman" w:hAnsi="Times New Roman" w:cs="Times New Roman"/>
                <w:b/>
                <w:szCs w:val="20"/>
              </w:rPr>
            </w:pPr>
            <w:r w:rsidRPr="00F650B7">
              <w:rPr>
                <w:rFonts w:ascii="Times New Roman" w:hAnsi="Times New Roman" w:cs="Times New Roman"/>
                <w:b/>
                <w:szCs w:val="20"/>
              </w:rPr>
              <w:t>215 318 586,4</w:t>
            </w:r>
          </w:p>
        </w:tc>
        <w:tc>
          <w:tcPr>
            <w:tcW w:w="1418" w:type="dxa"/>
            <w:vAlign w:val="center"/>
          </w:tcPr>
          <w:p w:rsidR="00341307" w:rsidRPr="00F650B7" w:rsidRDefault="00341307" w:rsidP="00D16555">
            <w:pPr>
              <w:pStyle w:val="ConsPlusNormal"/>
              <w:jc w:val="right"/>
              <w:rPr>
                <w:rFonts w:ascii="Times New Roman" w:hAnsi="Times New Roman" w:cs="Times New Roman"/>
                <w:b/>
                <w:szCs w:val="20"/>
              </w:rPr>
            </w:pPr>
            <w:r w:rsidRPr="00F650B7">
              <w:rPr>
                <w:rFonts w:ascii="Times New Roman" w:hAnsi="Times New Roman" w:cs="Times New Roman"/>
                <w:b/>
                <w:szCs w:val="20"/>
              </w:rPr>
              <w:t>100,0</w:t>
            </w:r>
          </w:p>
        </w:tc>
        <w:tc>
          <w:tcPr>
            <w:tcW w:w="1559" w:type="dxa"/>
            <w:vAlign w:val="center"/>
          </w:tcPr>
          <w:p w:rsidR="00341307" w:rsidRPr="00F650B7" w:rsidRDefault="00794EB6" w:rsidP="00341307">
            <w:pPr>
              <w:pStyle w:val="ConsPlusNormal"/>
              <w:jc w:val="right"/>
              <w:rPr>
                <w:b/>
                <w:bCs/>
                <w:sz w:val="22"/>
              </w:rPr>
            </w:pPr>
            <w:r w:rsidRPr="00F650B7">
              <w:rPr>
                <w:rFonts w:ascii="Times New Roman" w:hAnsi="Times New Roman" w:cs="Times New Roman"/>
                <w:b/>
                <w:szCs w:val="20"/>
              </w:rPr>
              <w:t>461 159 528,0</w:t>
            </w:r>
          </w:p>
        </w:tc>
        <w:tc>
          <w:tcPr>
            <w:tcW w:w="1559" w:type="dxa"/>
            <w:vAlign w:val="center"/>
          </w:tcPr>
          <w:p w:rsidR="00341307" w:rsidRPr="00F650B7" w:rsidRDefault="00341307" w:rsidP="00D16555">
            <w:pPr>
              <w:pStyle w:val="ConsPlusNormal"/>
              <w:jc w:val="right"/>
              <w:rPr>
                <w:rFonts w:ascii="Times New Roman" w:hAnsi="Times New Roman" w:cs="Times New Roman"/>
                <w:b/>
                <w:szCs w:val="20"/>
              </w:rPr>
            </w:pPr>
            <w:r w:rsidRPr="00F650B7">
              <w:rPr>
                <w:rFonts w:ascii="Times New Roman" w:hAnsi="Times New Roman" w:cs="Times New Roman"/>
                <w:b/>
                <w:szCs w:val="20"/>
              </w:rPr>
              <w:t>100,0</w:t>
            </w:r>
          </w:p>
        </w:tc>
        <w:tc>
          <w:tcPr>
            <w:tcW w:w="1559" w:type="dxa"/>
            <w:vAlign w:val="center"/>
          </w:tcPr>
          <w:p w:rsidR="00341307" w:rsidRPr="00F650B7" w:rsidRDefault="00794EB6" w:rsidP="00D16555">
            <w:pPr>
              <w:pStyle w:val="ConsPlusNormal"/>
              <w:jc w:val="right"/>
              <w:rPr>
                <w:rFonts w:ascii="Times New Roman" w:hAnsi="Times New Roman" w:cs="Times New Roman"/>
                <w:b/>
                <w:szCs w:val="20"/>
              </w:rPr>
            </w:pPr>
            <w:r w:rsidRPr="00F650B7">
              <w:rPr>
                <w:rFonts w:ascii="Times New Roman" w:hAnsi="Times New Roman" w:cs="Times New Roman"/>
                <w:b/>
                <w:szCs w:val="20"/>
              </w:rPr>
              <w:t>214,2</w:t>
            </w:r>
          </w:p>
        </w:tc>
      </w:tr>
      <w:tr w:rsidR="00F650B7" w:rsidRPr="00F650B7" w:rsidTr="00341307">
        <w:tc>
          <w:tcPr>
            <w:tcW w:w="2897" w:type="dxa"/>
          </w:tcPr>
          <w:p w:rsidR="00341307" w:rsidRPr="00F650B7" w:rsidRDefault="00341307" w:rsidP="00D16555">
            <w:pPr>
              <w:pStyle w:val="ConsPlusNormal"/>
              <w:rPr>
                <w:rFonts w:ascii="Times New Roman" w:hAnsi="Times New Roman" w:cs="Times New Roman"/>
                <w:sz w:val="22"/>
              </w:rPr>
            </w:pPr>
            <w:r w:rsidRPr="00F650B7">
              <w:rPr>
                <w:rFonts w:ascii="Times New Roman" w:hAnsi="Times New Roman" w:cs="Times New Roman"/>
                <w:sz w:val="22"/>
              </w:rPr>
              <w:t>1. Межбюджетные трансферты</w:t>
            </w:r>
          </w:p>
        </w:tc>
        <w:tc>
          <w:tcPr>
            <w:tcW w:w="1276" w:type="dxa"/>
            <w:vAlign w:val="center"/>
          </w:tcPr>
          <w:p w:rsidR="00341307" w:rsidRPr="00F650B7" w:rsidRDefault="00341307" w:rsidP="00D16555">
            <w:pPr>
              <w:pStyle w:val="ConsPlusNormal"/>
              <w:jc w:val="right"/>
              <w:rPr>
                <w:rFonts w:ascii="Times New Roman" w:hAnsi="Times New Roman" w:cs="Times New Roman"/>
                <w:szCs w:val="20"/>
              </w:rPr>
            </w:pPr>
            <w:r w:rsidRPr="00F650B7">
              <w:rPr>
                <w:rFonts w:ascii="Times New Roman" w:hAnsi="Times New Roman" w:cs="Times New Roman"/>
                <w:szCs w:val="20"/>
              </w:rPr>
              <w:t>76 385 547,0</w:t>
            </w:r>
          </w:p>
        </w:tc>
        <w:tc>
          <w:tcPr>
            <w:tcW w:w="1418" w:type="dxa"/>
            <w:vAlign w:val="center"/>
          </w:tcPr>
          <w:p w:rsidR="00341307" w:rsidRPr="00F650B7" w:rsidRDefault="00341307" w:rsidP="00D16555">
            <w:pPr>
              <w:pStyle w:val="ConsPlusNormal"/>
              <w:jc w:val="right"/>
              <w:rPr>
                <w:rFonts w:ascii="Times New Roman" w:hAnsi="Times New Roman" w:cs="Times New Roman"/>
                <w:szCs w:val="20"/>
              </w:rPr>
            </w:pPr>
            <w:r w:rsidRPr="00F650B7">
              <w:rPr>
                <w:rFonts w:ascii="Times New Roman" w:hAnsi="Times New Roman" w:cs="Times New Roman"/>
                <w:szCs w:val="20"/>
              </w:rPr>
              <w:t>35,5</w:t>
            </w:r>
          </w:p>
        </w:tc>
        <w:tc>
          <w:tcPr>
            <w:tcW w:w="1559" w:type="dxa"/>
            <w:vAlign w:val="center"/>
          </w:tcPr>
          <w:p w:rsidR="00341307" w:rsidRPr="00F650B7" w:rsidRDefault="00794EB6" w:rsidP="00341307">
            <w:pPr>
              <w:pStyle w:val="ConsPlusNormal"/>
              <w:jc w:val="right"/>
              <w:rPr>
                <w:sz w:val="22"/>
              </w:rPr>
            </w:pPr>
            <w:r w:rsidRPr="00F650B7">
              <w:rPr>
                <w:rFonts w:ascii="Times New Roman" w:hAnsi="Times New Roman" w:cs="Times New Roman"/>
                <w:szCs w:val="20"/>
              </w:rPr>
              <w:t>142 883 731,2</w:t>
            </w:r>
          </w:p>
        </w:tc>
        <w:tc>
          <w:tcPr>
            <w:tcW w:w="1559" w:type="dxa"/>
            <w:vAlign w:val="center"/>
          </w:tcPr>
          <w:p w:rsidR="00341307" w:rsidRPr="00F650B7" w:rsidRDefault="00DA68DF" w:rsidP="00793638">
            <w:pPr>
              <w:pStyle w:val="ConsPlusNormal"/>
              <w:jc w:val="right"/>
              <w:rPr>
                <w:rFonts w:ascii="Times New Roman" w:hAnsi="Times New Roman" w:cs="Times New Roman"/>
                <w:szCs w:val="20"/>
              </w:rPr>
            </w:pPr>
            <w:r w:rsidRPr="00F650B7">
              <w:rPr>
                <w:rFonts w:ascii="Times New Roman" w:hAnsi="Times New Roman" w:cs="Times New Roman"/>
                <w:szCs w:val="20"/>
              </w:rPr>
              <w:t>31,</w:t>
            </w:r>
            <w:r w:rsidR="00793638" w:rsidRPr="00F650B7">
              <w:rPr>
                <w:rFonts w:ascii="Times New Roman" w:hAnsi="Times New Roman" w:cs="Times New Roman"/>
                <w:szCs w:val="20"/>
              </w:rPr>
              <w:t>0</w:t>
            </w:r>
          </w:p>
        </w:tc>
        <w:tc>
          <w:tcPr>
            <w:tcW w:w="1559" w:type="dxa"/>
            <w:vAlign w:val="center"/>
          </w:tcPr>
          <w:p w:rsidR="00341307" w:rsidRPr="00F650B7" w:rsidRDefault="00DA68DF" w:rsidP="00794EB6">
            <w:pPr>
              <w:pStyle w:val="ConsPlusNormal"/>
              <w:jc w:val="right"/>
              <w:rPr>
                <w:rFonts w:ascii="Times New Roman" w:hAnsi="Times New Roman" w:cs="Times New Roman"/>
                <w:szCs w:val="20"/>
              </w:rPr>
            </w:pPr>
            <w:r w:rsidRPr="00F650B7">
              <w:rPr>
                <w:rFonts w:ascii="Times New Roman" w:hAnsi="Times New Roman" w:cs="Times New Roman"/>
                <w:szCs w:val="20"/>
              </w:rPr>
              <w:t>187,</w:t>
            </w:r>
            <w:r w:rsidR="00794EB6" w:rsidRPr="00F650B7">
              <w:rPr>
                <w:rFonts w:ascii="Times New Roman" w:hAnsi="Times New Roman" w:cs="Times New Roman"/>
                <w:szCs w:val="20"/>
              </w:rPr>
              <w:t>1</w:t>
            </w:r>
          </w:p>
        </w:tc>
      </w:tr>
      <w:tr w:rsidR="00F650B7" w:rsidRPr="00F650B7" w:rsidTr="0000245C">
        <w:tc>
          <w:tcPr>
            <w:tcW w:w="2897" w:type="dxa"/>
          </w:tcPr>
          <w:p w:rsidR="00D70A87" w:rsidRPr="00F650B7" w:rsidRDefault="00D70A87" w:rsidP="00D16555">
            <w:pPr>
              <w:pStyle w:val="ConsPlusNormal"/>
              <w:rPr>
                <w:rFonts w:ascii="Times New Roman" w:hAnsi="Times New Roman" w:cs="Times New Roman"/>
                <w:sz w:val="22"/>
              </w:rPr>
            </w:pPr>
            <w:r w:rsidRPr="00F650B7">
              <w:rPr>
                <w:rFonts w:ascii="Times New Roman" w:hAnsi="Times New Roman" w:cs="Times New Roman"/>
                <w:sz w:val="22"/>
              </w:rPr>
              <w:t>2. Расходы без учета межбюджетных трансфертов</w:t>
            </w:r>
          </w:p>
        </w:tc>
        <w:tc>
          <w:tcPr>
            <w:tcW w:w="1276" w:type="dxa"/>
            <w:vAlign w:val="center"/>
          </w:tcPr>
          <w:p w:rsidR="00D70A87" w:rsidRPr="00F650B7" w:rsidRDefault="002C6BC3" w:rsidP="00D16555">
            <w:pPr>
              <w:pStyle w:val="ConsPlusNormal"/>
              <w:jc w:val="right"/>
              <w:rPr>
                <w:rFonts w:ascii="Times New Roman" w:hAnsi="Times New Roman" w:cs="Times New Roman"/>
                <w:szCs w:val="20"/>
              </w:rPr>
            </w:pPr>
            <w:r w:rsidRPr="00F650B7">
              <w:rPr>
                <w:rFonts w:ascii="Times New Roman" w:hAnsi="Times New Roman" w:cs="Times New Roman"/>
                <w:szCs w:val="20"/>
              </w:rPr>
              <w:t>138 933 039,4</w:t>
            </w:r>
          </w:p>
        </w:tc>
        <w:tc>
          <w:tcPr>
            <w:tcW w:w="1418" w:type="dxa"/>
            <w:vAlign w:val="center"/>
          </w:tcPr>
          <w:p w:rsidR="00D70A87" w:rsidRPr="00F650B7" w:rsidRDefault="002C6BC3" w:rsidP="00D16555">
            <w:pPr>
              <w:pStyle w:val="ConsPlusNormal"/>
              <w:jc w:val="right"/>
              <w:rPr>
                <w:rFonts w:ascii="Times New Roman" w:hAnsi="Times New Roman" w:cs="Times New Roman"/>
                <w:szCs w:val="20"/>
              </w:rPr>
            </w:pPr>
            <w:r w:rsidRPr="00F650B7">
              <w:rPr>
                <w:rFonts w:ascii="Times New Roman" w:hAnsi="Times New Roman" w:cs="Times New Roman"/>
                <w:szCs w:val="20"/>
              </w:rPr>
              <w:t>64,5</w:t>
            </w:r>
          </w:p>
        </w:tc>
        <w:tc>
          <w:tcPr>
            <w:tcW w:w="1559" w:type="dxa"/>
            <w:vAlign w:val="center"/>
          </w:tcPr>
          <w:p w:rsidR="00D70A87" w:rsidRPr="00F650B7" w:rsidRDefault="00794EB6" w:rsidP="00A32C1B">
            <w:pPr>
              <w:pStyle w:val="ConsPlusNormal"/>
              <w:jc w:val="right"/>
              <w:rPr>
                <w:rFonts w:ascii="Times New Roman" w:hAnsi="Times New Roman" w:cs="Times New Roman"/>
                <w:szCs w:val="20"/>
                <w:highlight w:val="yellow"/>
              </w:rPr>
            </w:pPr>
            <w:r w:rsidRPr="00F650B7">
              <w:rPr>
                <w:rFonts w:ascii="Times New Roman" w:hAnsi="Times New Roman" w:cs="Times New Roman"/>
                <w:szCs w:val="20"/>
              </w:rPr>
              <w:t>318 275 796,8</w:t>
            </w:r>
          </w:p>
        </w:tc>
        <w:tc>
          <w:tcPr>
            <w:tcW w:w="1559" w:type="dxa"/>
            <w:vAlign w:val="center"/>
          </w:tcPr>
          <w:p w:rsidR="00D70A87" w:rsidRPr="00F650B7" w:rsidRDefault="00794EB6" w:rsidP="00D16555">
            <w:pPr>
              <w:pStyle w:val="ConsPlusNormal"/>
              <w:jc w:val="right"/>
              <w:rPr>
                <w:rFonts w:ascii="Times New Roman" w:hAnsi="Times New Roman" w:cs="Times New Roman"/>
                <w:szCs w:val="20"/>
              </w:rPr>
            </w:pPr>
            <w:r w:rsidRPr="00F650B7">
              <w:rPr>
                <w:rFonts w:ascii="Times New Roman" w:hAnsi="Times New Roman" w:cs="Times New Roman"/>
                <w:szCs w:val="20"/>
              </w:rPr>
              <w:t>69,0</w:t>
            </w:r>
          </w:p>
        </w:tc>
        <w:tc>
          <w:tcPr>
            <w:tcW w:w="1559" w:type="dxa"/>
            <w:vAlign w:val="center"/>
          </w:tcPr>
          <w:p w:rsidR="00D70A87" w:rsidRPr="00F650B7" w:rsidRDefault="00794EB6" w:rsidP="00D16555">
            <w:pPr>
              <w:pStyle w:val="ConsPlusNormal"/>
              <w:jc w:val="right"/>
              <w:rPr>
                <w:rFonts w:ascii="Times New Roman" w:hAnsi="Times New Roman" w:cs="Times New Roman"/>
                <w:szCs w:val="20"/>
              </w:rPr>
            </w:pPr>
            <w:r w:rsidRPr="00F650B7">
              <w:rPr>
                <w:rFonts w:ascii="Times New Roman" w:hAnsi="Times New Roman" w:cs="Times New Roman"/>
                <w:szCs w:val="20"/>
              </w:rPr>
              <w:t>229,1</w:t>
            </w:r>
          </w:p>
        </w:tc>
      </w:tr>
    </w:tbl>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lastRenderedPageBreak/>
        <w:t xml:space="preserve">В долгосрочной перспективе </w:t>
      </w:r>
      <w:r w:rsidR="001242A0" w:rsidRPr="00F650B7">
        <w:rPr>
          <w:rFonts w:ascii="Times New Roman" w:hAnsi="Times New Roman" w:cs="Times New Roman"/>
          <w:sz w:val="28"/>
          <w:szCs w:val="28"/>
        </w:rPr>
        <w:t>структур</w:t>
      </w:r>
      <w:r w:rsidR="00E2662A" w:rsidRPr="00F650B7">
        <w:rPr>
          <w:rFonts w:ascii="Times New Roman" w:hAnsi="Times New Roman" w:cs="Times New Roman"/>
          <w:sz w:val="28"/>
          <w:szCs w:val="28"/>
        </w:rPr>
        <w:t>а</w:t>
      </w:r>
      <w:r w:rsidR="001242A0" w:rsidRPr="00F650B7">
        <w:rPr>
          <w:rFonts w:ascii="Times New Roman" w:hAnsi="Times New Roman" w:cs="Times New Roman"/>
          <w:sz w:val="28"/>
          <w:szCs w:val="28"/>
        </w:rPr>
        <w:t xml:space="preserve"> расходов областного бюджета Ленинградской области </w:t>
      </w:r>
      <w:r w:rsidR="00E2662A" w:rsidRPr="00F650B7">
        <w:rPr>
          <w:rFonts w:ascii="Times New Roman" w:hAnsi="Times New Roman" w:cs="Times New Roman"/>
          <w:sz w:val="28"/>
          <w:szCs w:val="28"/>
        </w:rPr>
        <w:t>не претерпит значительных изменений</w:t>
      </w:r>
      <w:r w:rsidR="00526A87" w:rsidRPr="00F650B7">
        <w:rPr>
          <w:rFonts w:ascii="Times New Roman" w:hAnsi="Times New Roman" w:cs="Times New Roman"/>
          <w:sz w:val="28"/>
          <w:szCs w:val="28"/>
        </w:rPr>
        <w:t xml:space="preserve"> и останется стабильной</w:t>
      </w:r>
      <w:r w:rsidR="00E2662A" w:rsidRPr="00F650B7">
        <w:rPr>
          <w:rFonts w:ascii="Times New Roman" w:hAnsi="Times New Roman" w:cs="Times New Roman"/>
          <w:sz w:val="28"/>
          <w:szCs w:val="28"/>
        </w:rPr>
        <w:t>. Д</w:t>
      </w:r>
      <w:r w:rsidR="001242A0" w:rsidRPr="00F650B7">
        <w:rPr>
          <w:rFonts w:ascii="Times New Roman" w:hAnsi="Times New Roman" w:cs="Times New Roman"/>
          <w:sz w:val="28"/>
          <w:szCs w:val="28"/>
        </w:rPr>
        <w:t>ол</w:t>
      </w:r>
      <w:r w:rsidR="00E2662A" w:rsidRPr="00F650B7">
        <w:rPr>
          <w:rFonts w:ascii="Times New Roman" w:hAnsi="Times New Roman" w:cs="Times New Roman"/>
          <w:sz w:val="28"/>
          <w:szCs w:val="28"/>
        </w:rPr>
        <w:t>я</w:t>
      </w:r>
      <w:r w:rsidR="001242A0" w:rsidRPr="00F650B7">
        <w:rPr>
          <w:rFonts w:ascii="Times New Roman" w:hAnsi="Times New Roman" w:cs="Times New Roman"/>
          <w:sz w:val="28"/>
          <w:szCs w:val="28"/>
        </w:rPr>
        <w:t xml:space="preserve"> </w:t>
      </w:r>
      <w:r w:rsidR="000B7092" w:rsidRPr="00F650B7">
        <w:rPr>
          <w:rFonts w:ascii="Times New Roman" w:hAnsi="Times New Roman" w:cs="Times New Roman"/>
          <w:sz w:val="28"/>
          <w:szCs w:val="28"/>
        </w:rPr>
        <w:t>расходов без учета межбюджетных трансфертов</w:t>
      </w:r>
      <w:r w:rsidRPr="00F650B7">
        <w:rPr>
          <w:rFonts w:ascii="Times New Roman" w:hAnsi="Times New Roman" w:cs="Times New Roman"/>
          <w:sz w:val="28"/>
          <w:szCs w:val="28"/>
        </w:rPr>
        <w:t xml:space="preserve"> </w:t>
      </w:r>
      <w:r w:rsidR="00E2662A" w:rsidRPr="00F650B7">
        <w:rPr>
          <w:rFonts w:ascii="Times New Roman" w:hAnsi="Times New Roman" w:cs="Times New Roman"/>
          <w:sz w:val="28"/>
          <w:szCs w:val="28"/>
        </w:rPr>
        <w:t xml:space="preserve">будет на уровне </w:t>
      </w:r>
      <w:r w:rsidR="00A32C1B" w:rsidRPr="00F650B7">
        <w:rPr>
          <w:rFonts w:ascii="Times New Roman" w:hAnsi="Times New Roman" w:cs="Times New Roman"/>
          <w:sz w:val="28"/>
          <w:szCs w:val="28"/>
        </w:rPr>
        <w:t>6</w:t>
      </w:r>
      <w:r w:rsidR="00045DF6" w:rsidRPr="00F650B7">
        <w:rPr>
          <w:rFonts w:ascii="Times New Roman" w:hAnsi="Times New Roman" w:cs="Times New Roman"/>
          <w:sz w:val="28"/>
          <w:szCs w:val="28"/>
        </w:rPr>
        <w:t>9</w:t>
      </w:r>
      <w:r w:rsidR="00271B91" w:rsidRPr="00F650B7">
        <w:rPr>
          <w:rFonts w:ascii="Times New Roman" w:hAnsi="Times New Roman" w:cs="Times New Roman"/>
          <w:sz w:val="28"/>
          <w:szCs w:val="28"/>
        </w:rPr>
        <w:t>,0</w:t>
      </w:r>
      <w:r w:rsidR="001242A0" w:rsidRPr="00F650B7">
        <w:rPr>
          <w:rFonts w:ascii="Times New Roman" w:hAnsi="Times New Roman" w:cs="Times New Roman"/>
          <w:sz w:val="28"/>
          <w:szCs w:val="28"/>
        </w:rPr>
        <w:t>%</w:t>
      </w:r>
      <w:r w:rsidR="00E2662A" w:rsidRPr="00F650B7">
        <w:rPr>
          <w:rFonts w:ascii="Times New Roman" w:hAnsi="Times New Roman" w:cs="Times New Roman"/>
          <w:sz w:val="28"/>
          <w:szCs w:val="28"/>
        </w:rPr>
        <w:t xml:space="preserve">, доля расходов межбюджетных трансфертов – на уровне </w:t>
      </w:r>
      <w:r w:rsidR="00A32C1B" w:rsidRPr="00F650B7">
        <w:rPr>
          <w:rFonts w:ascii="Times New Roman" w:hAnsi="Times New Roman" w:cs="Times New Roman"/>
          <w:sz w:val="28"/>
          <w:szCs w:val="28"/>
        </w:rPr>
        <w:t>3</w:t>
      </w:r>
      <w:r w:rsidR="00045DF6" w:rsidRPr="00F650B7">
        <w:rPr>
          <w:rFonts w:ascii="Times New Roman" w:hAnsi="Times New Roman" w:cs="Times New Roman"/>
          <w:sz w:val="28"/>
          <w:szCs w:val="28"/>
        </w:rPr>
        <w:t>1</w:t>
      </w:r>
      <w:r w:rsidR="00271B91" w:rsidRPr="00F650B7">
        <w:rPr>
          <w:rFonts w:ascii="Times New Roman" w:hAnsi="Times New Roman" w:cs="Times New Roman"/>
          <w:sz w:val="28"/>
          <w:szCs w:val="28"/>
        </w:rPr>
        <w:t>,0</w:t>
      </w:r>
      <w:r w:rsidR="00E2662A" w:rsidRPr="00F650B7">
        <w:rPr>
          <w:rFonts w:ascii="Times New Roman" w:hAnsi="Times New Roman" w:cs="Times New Roman"/>
          <w:sz w:val="28"/>
          <w:szCs w:val="28"/>
        </w:rPr>
        <w:t>%</w:t>
      </w:r>
      <w:r w:rsidR="001242A0" w:rsidRPr="00F650B7">
        <w:rPr>
          <w:rFonts w:ascii="Times New Roman" w:hAnsi="Times New Roman" w:cs="Times New Roman"/>
          <w:sz w:val="28"/>
          <w:szCs w:val="28"/>
        </w:rPr>
        <w:t xml:space="preserve">. </w:t>
      </w: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Рост расходов областного бюджета Ленинградской области за период 20</w:t>
      </w:r>
      <w:r w:rsidR="00B355A6" w:rsidRPr="00F650B7">
        <w:rPr>
          <w:rFonts w:ascii="Times New Roman" w:hAnsi="Times New Roman" w:cs="Times New Roman"/>
          <w:sz w:val="28"/>
          <w:szCs w:val="28"/>
        </w:rPr>
        <w:t>23</w:t>
      </w:r>
      <w:r w:rsidRPr="00F650B7">
        <w:rPr>
          <w:rFonts w:ascii="Times New Roman" w:hAnsi="Times New Roman" w:cs="Times New Roman"/>
          <w:sz w:val="28"/>
          <w:szCs w:val="28"/>
        </w:rPr>
        <w:t>-20</w:t>
      </w:r>
      <w:r w:rsidR="00B355A6"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годов с учетом макроэкономических показателей прогноза социально-экономического развития Ленинградской области составит </w:t>
      </w:r>
      <w:r w:rsidR="00794EB6" w:rsidRPr="00F650B7">
        <w:rPr>
          <w:rFonts w:ascii="Times New Roman" w:hAnsi="Times New Roman" w:cs="Times New Roman"/>
          <w:sz w:val="28"/>
          <w:szCs w:val="28"/>
        </w:rPr>
        <w:t>214,2</w:t>
      </w:r>
      <w:r w:rsidRPr="00F650B7">
        <w:rPr>
          <w:rFonts w:ascii="Times New Roman" w:hAnsi="Times New Roman" w:cs="Times New Roman"/>
          <w:sz w:val="28"/>
          <w:szCs w:val="28"/>
        </w:rPr>
        <w:t xml:space="preserve">%. Долгосрочный прогноз </w:t>
      </w:r>
      <w:r w:rsidR="00272E3E" w:rsidRPr="00F650B7">
        <w:rPr>
          <w:rFonts w:ascii="Times New Roman" w:hAnsi="Times New Roman" w:cs="Times New Roman"/>
          <w:sz w:val="28"/>
          <w:szCs w:val="28"/>
        </w:rPr>
        <w:t xml:space="preserve">расходной части </w:t>
      </w:r>
      <w:r w:rsidRPr="00F650B7">
        <w:rPr>
          <w:rFonts w:ascii="Times New Roman" w:hAnsi="Times New Roman" w:cs="Times New Roman"/>
          <w:sz w:val="28"/>
          <w:szCs w:val="28"/>
        </w:rPr>
        <w:t xml:space="preserve">областного бюджета Ленинградской области рассчитан исходя </w:t>
      </w:r>
      <w:proofErr w:type="gramStart"/>
      <w:r w:rsidRPr="00F650B7">
        <w:rPr>
          <w:rFonts w:ascii="Times New Roman" w:hAnsi="Times New Roman" w:cs="Times New Roman"/>
          <w:sz w:val="28"/>
          <w:szCs w:val="28"/>
        </w:rPr>
        <w:t>из</w:t>
      </w:r>
      <w:proofErr w:type="gramEnd"/>
      <w:r w:rsidRPr="00F650B7">
        <w:rPr>
          <w:rFonts w:ascii="Times New Roman" w:hAnsi="Times New Roman" w:cs="Times New Roman"/>
          <w:sz w:val="28"/>
          <w:szCs w:val="28"/>
        </w:rPr>
        <w:t>:</w:t>
      </w: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индекса потребительских цен;</w:t>
      </w:r>
    </w:p>
    <w:p w:rsidR="00D70A87" w:rsidRPr="00F650B7" w:rsidRDefault="000B7092"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роста контингента</w:t>
      </w:r>
      <w:r w:rsidR="00D70A87" w:rsidRPr="00F650B7">
        <w:rPr>
          <w:rFonts w:ascii="Times New Roman" w:hAnsi="Times New Roman" w:cs="Times New Roman"/>
          <w:sz w:val="28"/>
          <w:szCs w:val="28"/>
        </w:rPr>
        <w:t xml:space="preserve"> обучающихся (в отношении расходов на дошкольное и общее образование);</w:t>
      </w:r>
    </w:p>
    <w:p w:rsidR="00272E3E" w:rsidRPr="00F650B7" w:rsidRDefault="004D57DB"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изменение количества получателей и</w:t>
      </w:r>
      <w:r w:rsidR="00272E3E" w:rsidRPr="00F650B7">
        <w:rPr>
          <w:rFonts w:ascii="Times New Roman" w:hAnsi="Times New Roman" w:cs="Times New Roman"/>
          <w:sz w:val="28"/>
          <w:szCs w:val="28"/>
        </w:rPr>
        <w:t xml:space="preserve"> мер социальной поддержки;</w:t>
      </w: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увеличения расходов инвестиционного характера к 20</w:t>
      </w:r>
      <w:r w:rsidR="000B7092" w:rsidRPr="00F650B7">
        <w:rPr>
          <w:rFonts w:ascii="Times New Roman" w:hAnsi="Times New Roman" w:cs="Times New Roman"/>
          <w:sz w:val="28"/>
          <w:szCs w:val="28"/>
        </w:rPr>
        <w:t>3</w:t>
      </w:r>
      <w:r w:rsidR="006627B1" w:rsidRPr="00F650B7">
        <w:rPr>
          <w:rFonts w:ascii="Times New Roman" w:hAnsi="Times New Roman" w:cs="Times New Roman"/>
          <w:sz w:val="28"/>
          <w:szCs w:val="28"/>
        </w:rPr>
        <w:t>4</w:t>
      </w:r>
      <w:r w:rsidRPr="00F650B7">
        <w:rPr>
          <w:rFonts w:ascii="Times New Roman" w:hAnsi="Times New Roman" w:cs="Times New Roman"/>
          <w:sz w:val="28"/>
          <w:szCs w:val="28"/>
        </w:rPr>
        <w:t xml:space="preserve"> году до </w:t>
      </w:r>
      <w:r w:rsidR="00974102" w:rsidRPr="00F650B7">
        <w:rPr>
          <w:rFonts w:ascii="Times New Roman" w:hAnsi="Times New Roman" w:cs="Times New Roman"/>
          <w:sz w:val="28"/>
          <w:szCs w:val="28"/>
        </w:rPr>
        <w:t>15,</w:t>
      </w:r>
      <w:r w:rsidR="00794EB6" w:rsidRPr="00F650B7">
        <w:rPr>
          <w:rFonts w:ascii="Times New Roman" w:hAnsi="Times New Roman" w:cs="Times New Roman"/>
          <w:sz w:val="28"/>
          <w:szCs w:val="28"/>
        </w:rPr>
        <w:t>7</w:t>
      </w:r>
      <w:r w:rsidRPr="00F650B7">
        <w:rPr>
          <w:rFonts w:ascii="Times New Roman" w:hAnsi="Times New Roman" w:cs="Times New Roman"/>
          <w:sz w:val="28"/>
          <w:szCs w:val="28"/>
        </w:rPr>
        <w:t>% от общего объема расходов областного бюджета Ленинградской области;</w:t>
      </w:r>
    </w:p>
    <w:p w:rsidR="004F3B88"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уровня безвозмездных поступлений.</w:t>
      </w:r>
    </w:p>
    <w:p w:rsidR="004D57DB" w:rsidRPr="00F650B7" w:rsidRDefault="004D57DB" w:rsidP="00D16555">
      <w:pPr>
        <w:pStyle w:val="ConsPlusNormal"/>
        <w:ind w:firstLine="709"/>
        <w:jc w:val="both"/>
        <w:rPr>
          <w:rFonts w:ascii="Times New Roman" w:hAnsi="Times New Roman" w:cs="Times New Roman"/>
          <w:sz w:val="28"/>
          <w:szCs w:val="28"/>
          <w:highlight w:val="yellow"/>
        </w:rPr>
      </w:pPr>
    </w:p>
    <w:p w:rsidR="00CE4907" w:rsidRPr="00F650B7" w:rsidRDefault="004F3B88"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В прогнозируемом периоде </w:t>
      </w:r>
      <w:r w:rsidR="00D70A87" w:rsidRPr="00F650B7">
        <w:rPr>
          <w:rFonts w:ascii="Times New Roman" w:hAnsi="Times New Roman" w:cs="Times New Roman"/>
          <w:sz w:val="28"/>
          <w:szCs w:val="28"/>
        </w:rPr>
        <w:t xml:space="preserve">исполнение областного бюджета Ленинградской области </w:t>
      </w:r>
      <w:r w:rsidR="00705238" w:rsidRPr="00F650B7">
        <w:rPr>
          <w:rFonts w:ascii="Times New Roman" w:hAnsi="Times New Roman" w:cs="Times New Roman"/>
          <w:sz w:val="28"/>
          <w:szCs w:val="28"/>
        </w:rPr>
        <w:t xml:space="preserve">планируется со снижением </w:t>
      </w:r>
      <w:r w:rsidR="00D70A87" w:rsidRPr="00F650B7">
        <w:rPr>
          <w:rFonts w:ascii="Times New Roman" w:hAnsi="Times New Roman" w:cs="Times New Roman"/>
          <w:sz w:val="28"/>
          <w:szCs w:val="28"/>
        </w:rPr>
        <w:t>дефицит</w:t>
      </w:r>
      <w:r w:rsidR="00705238" w:rsidRPr="00F650B7">
        <w:rPr>
          <w:rFonts w:ascii="Times New Roman" w:hAnsi="Times New Roman" w:cs="Times New Roman"/>
          <w:sz w:val="28"/>
          <w:szCs w:val="28"/>
        </w:rPr>
        <w:t>а с 10,</w:t>
      </w:r>
      <w:r w:rsidR="00F079D2" w:rsidRPr="00F650B7">
        <w:rPr>
          <w:rFonts w:ascii="Times New Roman" w:hAnsi="Times New Roman" w:cs="Times New Roman"/>
          <w:sz w:val="28"/>
          <w:szCs w:val="28"/>
        </w:rPr>
        <w:t>6</w:t>
      </w:r>
      <w:r w:rsidR="00705238" w:rsidRPr="00F650B7">
        <w:rPr>
          <w:rFonts w:ascii="Times New Roman" w:hAnsi="Times New Roman" w:cs="Times New Roman"/>
          <w:sz w:val="28"/>
          <w:szCs w:val="28"/>
        </w:rPr>
        <w:t>% от налоговых и неналоговых доходов областного бюджета в 202</w:t>
      </w:r>
      <w:r w:rsidR="00F079D2" w:rsidRPr="00F650B7">
        <w:rPr>
          <w:rFonts w:ascii="Times New Roman" w:hAnsi="Times New Roman" w:cs="Times New Roman"/>
          <w:sz w:val="28"/>
          <w:szCs w:val="28"/>
        </w:rPr>
        <w:t>6</w:t>
      </w:r>
      <w:r w:rsidR="00705238" w:rsidRPr="00F650B7">
        <w:rPr>
          <w:rFonts w:ascii="Times New Roman" w:hAnsi="Times New Roman" w:cs="Times New Roman"/>
          <w:sz w:val="28"/>
          <w:szCs w:val="28"/>
        </w:rPr>
        <w:t xml:space="preserve"> году</w:t>
      </w:r>
      <w:r w:rsidR="00833D99" w:rsidRPr="00F650B7">
        <w:rPr>
          <w:rFonts w:ascii="Times New Roman" w:hAnsi="Times New Roman" w:cs="Times New Roman"/>
          <w:sz w:val="28"/>
          <w:szCs w:val="28"/>
        </w:rPr>
        <w:t xml:space="preserve"> </w:t>
      </w:r>
      <w:r w:rsidR="00705238" w:rsidRPr="00F650B7">
        <w:rPr>
          <w:rFonts w:ascii="Times New Roman" w:hAnsi="Times New Roman" w:cs="Times New Roman"/>
          <w:sz w:val="28"/>
          <w:szCs w:val="28"/>
        </w:rPr>
        <w:t>до</w:t>
      </w:r>
      <w:r w:rsidR="00D70A87" w:rsidRPr="00F650B7">
        <w:rPr>
          <w:rFonts w:ascii="Times New Roman" w:hAnsi="Times New Roman" w:cs="Times New Roman"/>
          <w:sz w:val="28"/>
          <w:szCs w:val="28"/>
        </w:rPr>
        <w:t xml:space="preserve"> 0,</w:t>
      </w:r>
      <w:r w:rsidR="00A32C1B" w:rsidRPr="00F650B7">
        <w:rPr>
          <w:rFonts w:ascii="Times New Roman" w:hAnsi="Times New Roman" w:cs="Times New Roman"/>
          <w:sz w:val="28"/>
          <w:szCs w:val="28"/>
        </w:rPr>
        <w:t>4</w:t>
      </w:r>
      <w:r w:rsidR="00D70A87" w:rsidRPr="00F650B7">
        <w:rPr>
          <w:rFonts w:ascii="Times New Roman" w:hAnsi="Times New Roman" w:cs="Times New Roman"/>
          <w:sz w:val="28"/>
          <w:szCs w:val="28"/>
        </w:rPr>
        <w:t>%</w:t>
      </w:r>
      <w:r w:rsidR="00705238" w:rsidRPr="00F650B7">
        <w:rPr>
          <w:rFonts w:ascii="Times New Roman" w:hAnsi="Times New Roman" w:cs="Times New Roman"/>
          <w:sz w:val="28"/>
          <w:szCs w:val="28"/>
        </w:rPr>
        <w:t xml:space="preserve"> в 2034 году</w:t>
      </w:r>
      <w:r w:rsidR="00086EFF" w:rsidRPr="00F650B7">
        <w:rPr>
          <w:rFonts w:ascii="Times New Roman" w:hAnsi="Times New Roman" w:cs="Times New Roman"/>
          <w:sz w:val="28"/>
          <w:szCs w:val="28"/>
        </w:rPr>
        <w:t>.</w:t>
      </w:r>
    </w:p>
    <w:p w:rsidR="00CE4907" w:rsidRPr="00F650B7" w:rsidRDefault="00CE4907" w:rsidP="00CE4907">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Источниками финансирования дефицита областного бюджета Ленинградской области в 202</w:t>
      </w:r>
      <w:r w:rsidR="00F079D2" w:rsidRPr="00F650B7">
        <w:rPr>
          <w:rFonts w:ascii="Times New Roman" w:hAnsi="Times New Roman" w:cs="Times New Roman"/>
          <w:sz w:val="28"/>
          <w:szCs w:val="28"/>
        </w:rPr>
        <w:t xml:space="preserve">6 и 2027 </w:t>
      </w:r>
      <w:r w:rsidRPr="00F650B7">
        <w:rPr>
          <w:rFonts w:ascii="Times New Roman" w:hAnsi="Times New Roman" w:cs="Times New Roman"/>
          <w:sz w:val="28"/>
          <w:szCs w:val="28"/>
        </w:rPr>
        <w:t>год</w:t>
      </w:r>
      <w:r w:rsidR="00F079D2" w:rsidRPr="00F650B7">
        <w:rPr>
          <w:rFonts w:ascii="Times New Roman" w:hAnsi="Times New Roman" w:cs="Times New Roman"/>
          <w:sz w:val="28"/>
          <w:szCs w:val="28"/>
        </w:rPr>
        <w:t>ах</w:t>
      </w:r>
      <w:r w:rsidRPr="00F650B7">
        <w:rPr>
          <w:rFonts w:ascii="Times New Roman" w:hAnsi="Times New Roman" w:cs="Times New Roman"/>
          <w:sz w:val="28"/>
          <w:szCs w:val="28"/>
        </w:rPr>
        <w:t xml:space="preserve"> будут являться </w:t>
      </w:r>
      <w:r w:rsidR="00285B3F" w:rsidRPr="00F650B7">
        <w:rPr>
          <w:rFonts w:ascii="Times New Roman" w:hAnsi="Times New Roman" w:cs="Times New Roman"/>
          <w:sz w:val="28"/>
          <w:szCs w:val="28"/>
        </w:rPr>
        <w:t xml:space="preserve">исключительно остатки средств, сложившиеся на начало года, и </w:t>
      </w:r>
      <w:r w:rsidRPr="00F650B7">
        <w:rPr>
          <w:rFonts w:ascii="Times New Roman" w:hAnsi="Times New Roman" w:cs="Times New Roman"/>
          <w:sz w:val="28"/>
          <w:szCs w:val="28"/>
        </w:rPr>
        <w:t xml:space="preserve">бюджетные кредиты, предоставленные из федерального бюджета на финансовое обеспечение расходов для реализации инфраструктурных проектов, и. </w:t>
      </w:r>
    </w:p>
    <w:p w:rsidR="00CE4907" w:rsidRPr="00F650B7" w:rsidRDefault="00CE4907" w:rsidP="00CE4907">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Начиная с 202</w:t>
      </w:r>
      <w:r w:rsidR="00F079D2" w:rsidRPr="00F650B7">
        <w:rPr>
          <w:rFonts w:ascii="Times New Roman" w:hAnsi="Times New Roman" w:cs="Times New Roman"/>
          <w:sz w:val="28"/>
          <w:szCs w:val="28"/>
        </w:rPr>
        <w:t>8</w:t>
      </w:r>
      <w:r w:rsidRPr="00F650B7">
        <w:rPr>
          <w:rFonts w:ascii="Times New Roman" w:hAnsi="Times New Roman" w:cs="Times New Roman"/>
          <w:sz w:val="28"/>
          <w:szCs w:val="28"/>
        </w:rPr>
        <w:t xml:space="preserve"> года, </w:t>
      </w:r>
      <w:r w:rsidR="00E65C7E" w:rsidRPr="00F650B7">
        <w:rPr>
          <w:rFonts w:ascii="Times New Roman" w:hAnsi="Times New Roman" w:cs="Times New Roman"/>
          <w:sz w:val="28"/>
          <w:szCs w:val="28"/>
        </w:rPr>
        <w:t>планируется привлекать</w:t>
      </w:r>
      <w:r w:rsidRPr="00F650B7">
        <w:rPr>
          <w:rFonts w:ascii="Times New Roman" w:hAnsi="Times New Roman" w:cs="Times New Roman"/>
          <w:sz w:val="28"/>
          <w:szCs w:val="28"/>
        </w:rPr>
        <w:t xml:space="preserve"> кредиты кредитных организаций и </w:t>
      </w:r>
      <w:r w:rsidR="00E65C7E" w:rsidRPr="00F650B7">
        <w:rPr>
          <w:rFonts w:ascii="Times New Roman" w:hAnsi="Times New Roman" w:cs="Times New Roman"/>
          <w:sz w:val="28"/>
          <w:szCs w:val="28"/>
        </w:rPr>
        <w:t xml:space="preserve">выпускать </w:t>
      </w:r>
      <w:r w:rsidRPr="00F650B7">
        <w:rPr>
          <w:rFonts w:ascii="Times New Roman" w:hAnsi="Times New Roman" w:cs="Times New Roman"/>
          <w:sz w:val="28"/>
          <w:szCs w:val="28"/>
        </w:rPr>
        <w:t xml:space="preserve">государственные ценные бумаги Ленинградской области. </w:t>
      </w:r>
    </w:p>
    <w:p w:rsidR="00CE4907" w:rsidRPr="00F650B7" w:rsidRDefault="00CE4907" w:rsidP="00CE4907">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Государственный долг Ленинградской области в 2023-20</w:t>
      </w:r>
      <w:r w:rsidR="00D81DB2" w:rsidRPr="00F650B7">
        <w:rPr>
          <w:rFonts w:ascii="Times New Roman" w:hAnsi="Times New Roman" w:cs="Times New Roman"/>
          <w:sz w:val="28"/>
          <w:szCs w:val="28"/>
        </w:rPr>
        <w:t>29</w:t>
      </w:r>
      <w:r w:rsidRPr="00F650B7">
        <w:rPr>
          <w:rFonts w:ascii="Times New Roman" w:hAnsi="Times New Roman" w:cs="Times New Roman"/>
          <w:sz w:val="28"/>
          <w:szCs w:val="28"/>
        </w:rPr>
        <w:t xml:space="preserve"> годах</w:t>
      </w:r>
      <w:r w:rsidR="004D57DB" w:rsidRPr="00F650B7">
        <w:rPr>
          <w:rFonts w:ascii="Times New Roman" w:hAnsi="Times New Roman" w:cs="Times New Roman"/>
          <w:sz w:val="28"/>
          <w:szCs w:val="28"/>
        </w:rPr>
        <w:t xml:space="preserve"> будет составлять от 4,1% до 7,</w:t>
      </w:r>
      <w:r w:rsidR="00794EB6" w:rsidRPr="00F650B7">
        <w:rPr>
          <w:rFonts w:ascii="Times New Roman" w:hAnsi="Times New Roman" w:cs="Times New Roman"/>
          <w:sz w:val="28"/>
          <w:szCs w:val="28"/>
        </w:rPr>
        <w:t>6</w:t>
      </w:r>
      <w:r w:rsidR="004D57DB" w:rsidRPr="00F650B7">
        <w:rPr>
          <w:rFonts w:ascii="Times New Roman" w:hAnsi="Times New Roman" w:cs="Times New Roman"/>
          <w:sz w:val="28"/>
          <w:szCs w:val="28"/>
        </w:rPr>
        <w:t xml:space="preserve">% от налоговых и неналоговых доходов, </w:t>
      </w:r>
      <w:proofErr w:type="gramStart"/>
      <w:r w:rsidR="004D57DB" w:rsidRPr="00F650B7">
        <w:rPr>
          <w:rFonts w:ascii="Times New Roman" w:hAnsi="Times New Roman" w:cs="Times New Roman"/>
          <w:sz w:val="28"/>
          <w:szCs w:val="28"/>
        </w:rPr>
        <w:t>начиная с 20</w:t>
      </w:r>
      <w:r w:rsidR="00D81DB2" w:rsidRPr="00F650B7">
        <w:rPr>
          <w:rFonts w:ascii="Times New Roman" w:hAnsi="Times New Roman" w:cs="Times New Roman"/>
          <w:sz w:val="28"/>
          <w:szCs w:val="28"/>
        </w:rPr>
        <w:t>30</w:t>
      </w:r>
      <w:r w:rsidR="004D57DB" w:rsidRPr="00F650B7">
        <w:rPr>
          <w:rFonts w:ascii="Times New Roman" w:hAnsi="Times New Roman" w:cs="Times New Roman"/>
          <w:sz w:val="28"/>
          <w:szCs w:val="28"/>
        </w:rPr>
        <w:t xml:space="preserve"> года</w:t>
      </w:r>
      <w:r w:rsidRPr="00F650B7">
        <w:rPr>
          <w:rFonts w:ascii="Times New Roman" w:hAnsi="Times New Roman" w:cs="Times New Roman"/>
          <w:sz w:val="28"/>
          <w:szCs w:val="28"/>
        </w:rPr>
        <w:t xml:space="preserve"> </w:t>
      </w:r>
      <w:r w:rsidR="004D57DB" w:rsidRPr="00F650B7">
        <w:rPr>
          <w:rFonts w:ascii="Times New Roman" w:hAnsi="Times New Roman" w:cs="Times New Roman"/>
          <w:sz w:val="28"/>
          <w:szCs w:val="28"/>
        </w:rPr>
        <w:t xml:space="preserve">прогнозируется порядка </w:t>
      </w:r>
      <w:r w:rsidR="00D81DB2" w:rsidRPr="00F650B7">
        <w:rPr>
          <w:rFonts w:ascii="Times New Roman" w:hAnsi="Times New Roman" w:cs="Times New Roman"/>
          <w:sz w:val="28"/>
          <w:szCs w:val="28"/>
        </w:rPr>
        <w:t>8,</w:t>
      </w:r>
      <w:r w:rsidR="00794EB6" w:rsidRPr="00F650B7">
        <w:rPr>
          <w:rFonts w:ascii="Times New Roman" w:hAnsi="Times New Roman" w:cs="Times New Roman"/>
          <w:sz w:val="28"/>
          <w:szCs w:val="28"/>
        </w:rPr>
        <w:t>0</w:t>
      </w:r>
      <w:proofErr w:type="gramEnd"/>
      <w:r w:rsidR="004D57DB" w:rsidRPr="00F650B7">
        <w:rPr>
          <w:rFonts w:ascii="Times New Roman" w:hAnsi="Times New Roman" w:cs="Times New Roman"/>
          <w:sz w:val="28"/>
          <w:szCs w:val="28"/>
        </w:rPr>
        <w:t>%</w:t>
      </w:r>
      <w:r w:rsidRPr="00F650B7">
        <w:rPr>
          <w:rFonts w:ascii="Times New Roman" w:hAnsi="Times New Roman" w:cs="Times New Roman"/>
          <w:sz w:val="28"/>
          <w:szCs w:val="28"/>
        </w:rPr>
        <w:t>.</w:t>
      </w:r>
    </w:p>
    <w:p w:rsidR="00E65C7E" w:rsidRPr="00F650B7" w:rsidRDefault="00E65C7E" w:rsidP="00E65C7E">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К 2034 году в общем объеме государственного долга Ленинградской области основную долю (</w:t>
      </w:r>
      <w:r w:rsidR="00EE3D10" w:rsidRPr="00F650B7">
        <w:rPr>
          <w:rFonts w:ascii="Times New Roman" w:hAnsi="Times New Roman" w:cs="Times New Roman"/>
          <w:sz w:val="28"/>
          <w:szCs w:val="28"/>
        </w:rPr>
        <w:t>55,4</w:t>
      </w:r>
      <w:r w:rsidRPr="00F650B7">
        <w:rPr>
          <w:rFonts w:ascii="Times New Roman" w:hAnsi="Times New Roman" w:cs="Times New Roman"/>
          <w:sz w:val="28"/>
          <w:szCs w:val="28"/>
        </w:rPr>
        <w:t>%) будут занимать государственные ценные бумаги Ленинградской области.</w:t>
      </w:r>
    </w:p>
    <w:p w:rsidR="00CE4907" w:rsidRPr="00F650B7" w:rsidRDefault="00CE4907" w:rsidP="00CE4907">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Увеличение объема государственного долга Ленинградской области и сумм</w:t>
      </w:r>
      <w:r w:rsidR="004D57DB" w:rsidRPr="00F650B7">
        <w:rPr>
          <w:rFonts w:ascii="Times New Roman" w:hAnsi="Times New Roman" w:cs="Times New Roman"/>
          <w:sz w:val="28"/>
          <w:szCs w:val="28"/>
        </w:rPr>
        <w:t xml:space="preserve"> платежей</w:t>
      </w:r>
      <w:r w:rsidRPr="00F650B7">
        <w:rPr>
          <w:rFonts w:ascii="Times New Roman" w:hAnsi="Times New Roman" w:cs="Times New Roman"/>
          <w:sz w:val="28"/>
          <w:szCs w:val="28"/>
        </w:rPr>
        <w:t xml:space="preserve">, направляемых на его погашение и обслуживание, не повлечет за собой ухудшения долговой устойчивости региона. </w:t>
      </w:r>
    </w:p>
    <w:p w:rsidR="003C3DDD" w:rsidRPr="00F650B7" w:rsidRDefault="00D70A87" w:rsidP="00D16555">
      <w:pPr>
        <w:pStyle w:val="ConsPlusNormal"/>
        <w:spacing w:before="200"/>
        <w:ind w:firstLine="709"/>
        <w:jc w:val="both"/>
        <w:rPr>
          <w:rFonts w:ascii="Times New Roman" w:hAnsi="Times New Roman" w:cs="Times New Roman"/>
          <w:sz w:val="28"/>
          <w:szCs w:val="28"/>
        </w:rPr>
      </w:pPr>
      <w:r w:rsidRPr="00F650B7">
        <w:rPr>
          <w:rFonts w:ascii="Times New Roman" w:hAnsi="Times New Roman" w:cs="Times New Roman"/>
          <w:sz w:val="28"/>
          <w:szCs w:val="28"/>
        </w:rPr>
        <w:t>Основные параметры консолидированного бюджета Ленинградской области на период до 20</w:t>
      </w:r>
      <w:r w:rsidR="00E60702"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года представлены в </w:t>
      </w:r>
      <w:hyperlink w:anchor="P994">
        <w:r w:rsidRPr="00F650B7">
          <w:rPr>
            <w:rFonts w:ascii="Times New Roman" w:hAnsi="Times New Roman" w:cs="Times New Roman"/>
            <w:sz w:val="28"/>
            <w:szCs w:val="28"/>
          </w:rPr>
          <w:t>приложении 2</w:t>
        </w:r>
      </w:hyperlink>
      <w:r w:rsidRPr="00F650B7">
        <w:rPr>
          <w:rFonts w:ascii="Times New Roman" w:hAnsi="Times New Roman" w:cs="Times New Roman"/>
          <w:sz w:val="28"/>
          <w:szCs w:val="28"/>
        </w:rPr>
        <w:t xml:space="preserve"> к Бюджетному прогнозу.</w:t>
      </w: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Структура и динамика доходной части консолидированного бюджета Ленинградской области за период 2023-2034 годов характеризуются следующими показателями:</w:t>
      </w:r>
    </w:p>
    <w:p w:rsidR="004D4A39" w:rsidRPr="00F650B7" w:rsidRDefault="004D4A39" w:rsidP="00CA5837">
      <w:pPr>
        <w:widowControl w:val="0"/>
        <w:autoSpaceDE w:val="0"/>
        <w:autoSpaceDN w:val="0"/>
        <w:ind w:firstLine="709"/>
        <w:jc w:val="both"/>
        <w:rPr>
          <w:rFonts w:eastAsiaTheme="minorEastAsia"/>
          <w:sz w:val="20"/>
          <w:szCs w:val="20"/>
          <w:highlight w:val="yellow"/>
        </w:rPr>
      </w:pPr>
    </w:p>
    <w:p w:rsidR="004D4A39" w:rsidRPr="00F650B7" w:rsidRDefault="004D4A39" w:rsidP="00CA5837">
      <w:pPr>
        <w:widowControl w:val="0"/>
        <w:autoSpaceDE w:val="0"/>
        <w:autoSpaceDN w:val="0"/>
        <w:ind w:firstLine="709"/>
        <w:jc w:val="right"/>
        <w:rPr>
          <w:rFonts w:eastAsiaTheme="minorEastAsia"/>
          <w:sz w:val="20"/>
          <w:szCs w:val="20"/>
        </w:rPr>
      </w:pPr>
    </w:p>
    <w:p w:rsidR="004D4A39" w:rsidRPr="00F650B7" w:rsidRDefault="004D4A39" w:rsidP="00CA5837">
      <w:pPr>
        <w:widowControl w:val="0"/>
        <w:autoSpaceDE w:val="0"/>
        <w:autoSpaceDN w:val="0"/>
        <w:ind w:firstLine="709"/>
        <w:jc w:val="right"/>
        <w:rPr>
          <w:rFonts w:eastAsiaTheme="minorEastAsia"/>
          <w:sz w:val="20"/>
          <w:szCs w:val="20"/>
        </w:rPr>
      </w:pPr>
    </w:p>
    <w:p w:rsidR="004D4A39" w:rsidRPr="00F650B7" w:rsidRDefault="004D4A39" w:rsidP="00CA5837">
      <w:pPr>
        <w:widowControl w:val="0"/>
        <w:autoSpaceDE w:val="0"/>
        <w:autoSpaceDN w:val="0"/>
        <w:ind w:firstLine="709"/>
        <w:jc w:val="right"/>
        <w:rPr>
          <w:rFonts w:eastAsiaTheme="minorEastAsia"/>
          <w:sz w:val="20"/>
          <w:szCs w:val="20"/>
        </w:rPr>
      </w:pPr>
    </w:p>
    <w:p w:rsidR="004D4A39" w:rsidRPr="00F650B7" w:rsidRDefault="004D4A39" w:rsidP="00CA5837">
      <w:pPr>
        <w:widowControl w:val="0"/>
        <w:autoSpaceDE w:val="0"/>
        <w:autoSpaceDN w:val="0"/>
        <w:ind w:firstLine="709"/>
        <w:jc w:val="right"/>
        <w:rPr>
          <w:rFonts w:eastAsiaTheme="minorEastAsia"/>
          <w:sz w:val="20"/>
          <w:szCs w:val="20"/>
        </w:rPr>
      </w:pPr>
    </w:p>
    <w:p w:rsidR="00CA5837" w:rsidRPr="00F650B7" w:rsidRDefault="00CA5837" w:rsidP="00CA5837">
      <w:pPr>
        <w:widowControl w:val="0"/>
        <w:autoSpaceDE w:val="0"/>
        <w:autoSpaceDN w:val="0"/>
        <w:ind w:firstLine="709"/>
        <w:jc w:val="right"/>
        <w:rPr>
          <w:rFonts w:eastAsiaTheme="minorEastAsia"/>
          <w:sz w:val="20"/>
          <w:szCs w:val="20"/>
        </w:rPr>
      </w:pPr>
      <w:r w:rsidRPr="00F650B7">
        <w:rPr>
          <w:rFonts w:eastAsiaTheme="minorEastAsia"/>
          <w:sz w:val="20"/>
          <w:szCs w:val="20"/>
        </w:rPr>
        <w:lastRenderedPageBreak/>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1479"/>
        <w:gridCol w:w="1553"/>
        <w:gridCol w:w="1480"/>
        <w:gridCol w:w="1721"/>
        <w:gridCol w:w="1746"/>
      </w:tblGrid>
      <w:tr w:rsidR="00F650B7" w:rsidRPr="00F650B7" w:rsidTr="006D7147">
        <w:trPr>
          <w:trHeight w:val="514"/>
        </w:trPr>
        <w:tc>
          <w:tcPr>
            <w:tcW w:w="2269"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Показатель</w:t>
            </w:r>
          </w:p>
        </w:tc>
        <w:tc>
          <w:tcPr>
            <w:tcW w:w="1479"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20</w:t>
            </w:r>
            <w:r w:rsidRPr="00F650B7">
              <w:rPr>
                <w:rFonts w:eastAsiaTheme="minorEastAsia"/>
                <w:b/>
                <w:sz w:val="20"/>
                <w:szCs w:val="20"/>
                <w:lang w:val="en-US"/>
              </w:rPr>
              <w:t>23</w:t>
            </w:r>
            <w:r w:rsidRPr="00F650B7">
              <w:rPr>
                <w:rFonts w:eastAsiaTheme="minorEastAsia"/>
                <w:b/>
                <w:sz w:val="20"/>
                <w:szCs w:val="20"/>
              </w:rPr>
              <w:t xml:space="preserve"> год</w:t>
            </w:r>
          </w:p>
        </w:tc>
        <w:tc>
          <w:tcPr>
            <w:tcW w:w="1553"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Удельный вес в общем объеме доходов, %</w:t>
            </w:r>
          </w:p>
        </w:tc>
        <w:tc>
          <w:tcPr>
            <w:tcW w:w="1480"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20</w:t>
            </w:r>
            <w:r w:rsidRPr="00F650B7">
              <w:rPr>
                <w:rFonts w:eastAsiaTheme="minorEastAsia"/>
                <w:b/>
                <w:sz w:val="20"/>
                <w:szCs w:val="20"/>
                <w:lang w:val="en-US"/>
              </w:rPr>
              <w:t>34</w:t>
            </w:r>
            <w:r w:rsidRPr="00F650B7">
              <w:rPr>
                <w:rFonts w:eastAsiaTheme="minorEastAsia"/>
                <w:b/>
                <w:sz w:val="20"/>
                <w:szCs w:val="20"/>
              </w:rPr>
              <w:t xml:space="preserve"> год</w:t>
            </w:r>
          </w:p>
        </w:tc>
        <w:tc>
          <w:tcPr>
            <w:tcW w:w="1721"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Удельный вес в общем объеме доходов, %</w:t>
            </w:r>
          </w:p>
        </w:tc>
        <w:tc>
          <w:tcPr>
            <w:tcW w:w="1746"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Динамика</w:t>
            </w:r>
          </w:p>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 xml:space="preserve"> за период</w:t>
            </w:r>
          </w:p>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 xml:space="preserve"> 20</w:t>
            </w:r>
            <w:r w:rsidRPr="00F650B7">
              <w:rPr>
                <w:rFonts w:eastAsiaTheme="minorEastAsia"/>
                <w:b/>
                <w:sz w:val="20"/>
                <w:szCs w:val="20"/>
                <w:lang w:val="en-US"/>
              </w:rPr>
              <w:t>23</w:t>
            </w:r>
            <w:r w:rsidRPr="00F650B7">
              <w:rPr>
                <w:rFonts w:eastAsiaTheme="minorEastAsia"/>
                <w:b/>
                <w:sz w:val="20"/>
                <w:szCs w:val="20"/>
              </w:rPr>
              <w:t>-20</w:t>
            </w:r>
            <w:r w:rsidRPr="00F650B7">
              <w:rPr>
                <w:rFonts w:eastAsiaTheme="minorEastAsia"/>
                <w:b/>
                <w:sz w:val="20"/>
                <w:szCs w:val="20"/>
                <w:lang w:val="en-US"/>
              </w:rPr>
              <w:t>34</w:t>
            </w:r>
            <w:r w:rsidRPr="00F650B7">
              <w:rPr>
                <w:rFonts w:eastAsiaTheme="minorEastAsia"/>
                <w:b/>
                <w:sz w:val="20"/>
                <w:szCs w:val="20"/>
              </w:rPr>
              <w:t xml:space="preserve"> годов, %</w:t>
            </w:r>
          </w:p>
        </w:tc>
      </w:tr>
      <w:tr w:rsidR="00F650B7" w:rsidRPr="00F650B7" w:rsidTr="00471EF1">
        <w:trPr>
          <w:trHeight w:val="20"/>
        </w:trPr>
        <w:tc>
          <w:tcPr>
            <w:tcW w:w="2269" w:type="dxa"/>
          </w:tcPr>
          <w:p w:rsidR="00CA5837" w:rsidRPr="00F650B7" w:rsidRDefault="00CA5837" w:rsidP="006D7147">
            <w:pPr>
              <w:widowControl w:val="0"/>
              <w:autoSpaceDE w:val="0"/>
              <w:autoSpaceDN w:val="0"/>
              <w:rPr>
                <w:rFonts w:eastAsiaTheme="minorEastAsia"/>
                <w:b/>
                <w:sz w:val="20"/>
                <w:szCs w:val="20"/>
              </w:rPr>
            </w:pPr>
            <w:r w:rsidRPr="00F650B7">
              <w:rPr>
                <w:rFonts w:eastAsiaTheme="minorEastAsia"/>
                <w:b/>
                <w:sz w:val="20"/>
                <w:szCs w:val="20"/>
              </w:rPr>
              <w:t>Доходы</w:t>
            </w:r>
          </w:p>
        </w:tc>
        <w:tc>
          <w:tcPr>
            <w:tcW w:w="1479" w:type="dxa"/>
            <w:vAlign w:val="center"/>
          </w:tcPr>
          <w:p w:rsidR="00CA5837" w:rsidRPr="00F650B7" w:rsidRDefault="00CA5837" w:rsidP="006D7147">
            <w:pPr>
              <w:jc w:val="right"/>
              <w:rPr>
                <w:b/>
                <w:bCs/>
                <w:sz w:val="20"/>
                <w:szCs w:val="20"/>
              </w:rPr>
            </w:pPr>
            <w:r w:rsidRPr="00F650B7">
              <w:rPr>
                <w:b/>
                <w:bCs/>
                <w:sz w:val="20"/>
                <w:szCs w:val="20"/>
              </w:rPr>
              <w:t>306 088 004,6</w:t>
            </w:r>
          </w:p>
        </w:tc>
        <w:tc>
          <w:tcPr>
            <w:tcW w:w="1553" w:type="dxa"/>
            <w:vAlign w:val="center"/>
          </w:tcPr>
          <w:p w:rsidR="00CA5837" w:rsidRPr="00F650B7" w:rsidRDefault="00CA5837" w:rsidP="006D7147">
            <w:pPr>
              <w:jc w:val="right"/>
              <w:rPr>
                <w:b/>
                <w:bCs/>
                <w:sz w:val="20"/>
                <w:szCs w:val="20"/>
              </w:rPr>
            </w:pPr>
            <w:r w:rsidRPr="00F650B7">
              <w:rPr>
                <w:b/>
                <w:bCs/>
                <w:sz w:val="20"/>
                <w:szCs w:val="20"/>
              </w:rPr>
              <w:t>100,0</w:t>
            </w:r>
          </w:p>
        </w:tc>
        <w:tc>
          <w:tcPr>
            <w:tcW w:w="1480" w:type="dxa"/>
            <w:shd w:val="clear" w:color="auto" w:fill="auto"/>
            <w:vAlign w:val="center"/>
          </w:tcPr>
          <w:p w:rsidR="00CA5837" w:rsidRPr="00F650B7" w:rsidRDefault="00CA5837" w:rsidP="006D7147">
            <w:pPr>
              <w:jc w:val="right"/>
              <w:rPr>
                <w:b/>
                <w:bCs/>
                <w:sz w:val="20"/>
                <w:szCs w:val="20"/>
              </w:rPr>
            </w:pPr>
            <w:r w:rsidRPr="00F650B7">
              <w:rPr>
                <w:b/>
                <w:bCs/>
                <w:sz w:val="20"/>
                <w:szCs w:val="20"/>
              </w:rPr>
              <w:t>581 964 489,5</w:t>
            </w:r>
          </w:p>
        </w:tc>
        <w:tc>
          <w:tcPr>
            <w:tcW w:w="1721" w:type="dxa"/>
            <w:shd w:val="clear" w:color="auto" w:fill="auto"/>
            <w:vAlign w:val="center"/>
          </w:tcPr>
          <w:p w:rsidR="00CA5837" w:rsidRPr="00F650B7" w:rsidRDefault="00CA5837" w:rsidP="006D7147">
            <w:pPr>
              <w:jc w:val="right"/>
              <w:rPr>
                <w:b/>
                <w:bCs/>
                <w:sz w:val="20"/>
                <w:szCs w:val="20"/>
              </w:rPr>
            </w:pPr>
            <w:r w:rsidRPr="00F650B7">
              <w:rPr>
                <w:b/>
                <w:bCs/>
                <w:sz w:val="20"/>
                <w:szCs w:val="20"/>
              </w:rPr>
              <w:t>100,0</w:t>
            </w:r>
          </w:p>
        </w:tc>
        <w:tc>
          <w:tcPr>
            <w:tcW w:w="1746" w:type="dxa"/>
            <w:shd w:val="clear" w:color="auto" w:fill="auto"/>
            <w:vAlign w:val="center"/>
          </w:tcPr>
          <w:p w:rsidR="00CA5837" w:rsidRPr="00F650B7" w:rsidRDefault="00CA5837" w:rsidP="006D7147">
            <w:pPr>
              <w:jc w:val="right"/>
              <w:rPr>
                <w:b/>
                <w:bCs/>
                <w:sz w:val="20"/>
                <w:szCs w:val="20"/>
              </w:rPr>
            </w:pPr>
            <w:r w:rsidRPr="00F650B7">
              <w:rPr>
                <w:b/>
                <w:bCs/>
                <w:sz w:val="20"/>
                <w:szCs w:val="20"/>
              </w:rPr>
              <w:t>190,1</w:t>
            </w:r>
          </w:p>
        </w:tc>
      </w:tr>
      <w:tr w:rsidR="00F650B7" w:rsidRPr="00F650B7" w:rsidTr="00471EF1">
        <w:trPr>
          <w:trHeight w:val="20"/>
        </w:trPr>
        <w:tc>
          <w:tcPr>
            <w:tcW w:w="2269"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1. Налоговые и неналоговые доходы</w:t>
            </w:r>
          </w:p>
        </w:tc>
        <w:tc>
          <w:tcPr>
            <w:tcW w:w="1479" w:type="dxa"/>
            <w:vAlign w:val="center"/>
          </w:tcPr>
          <w:p w:rsidR="00CA5837" w:rsidRPr="00F650B7" w:rsidRDefault="00CA5837" w:rsidP="006D7147">
            <w:pPr>
              <w:jc w:val="right"/>
              <w:rPr>
                <w:sz w:val="20"/>
                <w:szCs w:val="20"/>
              </w:rPr>
            </w:pPr>
            <w:r w:rsidRPr="00F650B7">
              <w:rPr>
                <w:sz w:val="20"/>
                <w:szCs w:val="20"/>
              </w:rPr>
              <w:t>282 401 010,8</w:t>
            </w:r>
          </w:p>
        </w:tc>
        <w:tc>
          <w:tcPr>
            <w:tcW w:w="1553" w:type="dxa"/>
            <w:vAlign w:val="center"/>
          </w:tcPr>
          <w:p w:rsidR="00CA5837" w:rsidRPr="00F650B7" w:rsidRDefault="00CA5837" w:rsidP="006D7147">
            <w:pPr>
              <w:jc w:val="right"/>
              <w:rPr>
                <w:sz w:val="20"/>
                <w:szCs w:val="20"/>
              </w:rPr>
            </w:pPr>
            <w:r w:rsidRPr="00F650B7">
              <w:rPr>
                <w:sz w:val="20"/>
                <w:szCs w:val="20"/>
              </w:rPr>
              <w:t>92,3</w:t>
            </w:r>
          </w:p>
        </w:tc>
        <w:tc>
          <w:tcPr>
            <w:tcW w:w="1480" w:type="dxa"/>
            <w:shd w:val="clear" w:color="auto" w:fill="auto"/>
            <w:vAlign w:val="center"/>
          </w:tcPr>
          <w:p w:rsidR="00CA5837" w:rsidRPr="00F650B7" w:rsidRDefault="00CA5837" w:rsidP="006D7147">
            <w:pPr>
              <w:jc w:val="right"/>
              <w:rPr>
                <w:sz w:val="20"/>
                <w:szCs w:val="20"/>
              </w:rPr>
            </w:pPr>
            <w:r w:rsidRPr="00F650B7">
              <w:rPr>
                <w:sz w:val="20"/>
                <w:szCs w:val="20"/>
              </w:rPr>
              <w:t>562 620 219,0</w:t>
            </w:r>
          </w:p>
        </w:tc>
        <w:tc>
          <w:tcPr>
            <w:tcW w:w="1721" w:type="dxa"/>
            <w:shd w:val="clear" w:color="auto" w:fill="auto"/>
            <w:vAlign w:val="center"/>
          </w:tcPr>
          <w:p w:rsidR="00CA5837" w:rsidRPr="00F650B7" w:rsidRDefault="00CA5837" w:rsidP="006D7147">
            <w:pPr>
              <w:jc w:val="right"/>
              <w:rPr>
                <w:sz w:val="20"/>
                <w:szCs w:val="20"/>
              </w:rPr>
            </w:pPr>
            <w:r w:rsidRPr="00F650B7">
              <w:rPr>
                <w:sz w:val="20"/>
                <w:szCs w:val="20"/>
              </w:rPr>
              <w:t>96,7</w:t>
            </w:r>
          </w:p>
        </w:tc>
        <w:tc>
          <w:tcPr>
            <w:tcW w:w="1746" w:type="dxa"/>
            <w:shd w:val="clear" w:color="auto" w:fill="auto"/>
            <w:vAlign w:val="center"/>
          </w:tcPr>
          <w:p w:rsidR="00CA5837" w:rsidRPr="00F650B7" w:rsidRDefault="00CA5837" w:rsidP="006D7147">
            <w:pPr>
              <w:jc w:val="right"/>
              <w:rPr>
                <w:sz w:val="20"/>
                <w:szCs w:val="20"/>
              </w:rPr>
            </w:pPr>
            <w:r w:rsidRPr="00F650B7">
              <w:rPr>
                <w:sz w:val="20"/>
                <w:szCs w:val="20"/>
              </w:rPr>
              <w:t>199,2</w:t>
            </w:r>
          </w:p>
        </w:tc>
      </w:tr>
      <w:tr w:rsidR="00F650B7" w:rsidRPr="00F650B7" w:rsidTr="00471EF1">
        <w:trPr>
          <w:trHeight w:val="20"/>
        </w:trPr>
        <w:tc>
          <w:tcPr>
            <w:tcW w:w="2269"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1.1. Налоговые доходы</w:t>
            </w:r>
          </w:p>
        </w:tc>
        <w:tc>
          <w:tcPr>
            <w:tcW w:w="1479" w:type="dxa"/>
            <w:vAlign w:val="center"/>
          </w:tcPr>
          <w:p w:rsidR="00CA5837" w:rsidRPr="00F650B7" w:rsidRDefault="00CA5837" w:rsidP="006D7147">
            <w:pPr>
              <w:jc w:val="right"/>
              <w:rPr>
                <w:sz w:val="20"/>
                <w:szCs w:val="20"/>
              </w:rPr>
            </w:pPr>
            <w:r w:rsidRPr="00F650B7">
              <w:rPr>
                <w:sz w:val="20"/>
                <w:szCs w:val="20"/>
              </w:rPr>
              <w:t>266 041 252,3</w:t>
            </w:r>
          </w:p>
        </w:tc>
        <w:tc>
          <w:tcPr>
            <w:tcW w:w="1553" w:type="dxa"/>
            <w:vAlign w:val="center"/>
          </w:tcPr>
          <w:p w:rsidR="00CA5837" w:rsidRPr="00F650B7" w:rsidRDefault="00FD1B86" w:rsidP="006D7147">
            <w:pPr>
              <w:jc w:val="right"/>
              <w:rPr>
                <w:sz w:val="20"/>
                <w:szCs w:val="20"/>
              </w:rPr>
            </w:pPr>
            <w:r w:rsidRPr="00F650B7">
              <w:rPr>
                <w:sz w:val="20"/>
                <w:szCs w:val="20"/>
              </w:rPr>
              <w:t>86,9</w:t>
            </w:r>
          </w:p>
        </w:tc>
        <w:tc>
          <w:tcPr>
            <w:tcW w:w="1480" w:type="dxa"/>
            <w:shd w:val="clear" w:color="auto" w:fill="auto"/>
            <w:vAlign w:val="center"/>
          </w:tcPr>
          <w:p w:rsidR="00CA5837" w:rsidRPr="00F650B7" w:rsidRDefault="00CA5837" w:rsidP="006D7147">
            <w:pPr>
              <w:jc w:val="right"/>
              <w:rPr>
                <w:sz w:val="20"/>
                <w:szCs w:val="20"/>
              </w:rPr>
            </w:pPr>
            <w:r w:rsidRPr="00F650B7">
              <w:rPr>
                <w:sz w:val="20"/>
                <w:szCs w:val="20"/>
              </w:rPr>
              <w:t>546 606 299,1</w:t>
            </w:r>
          </w:p>
        </w:tc>
        <w:tc>
          <w:tcPr>
            <w:tcW w:w="1721" w:type="dxa"/>
            <w:shd w:val="clear" w:color="auto" w:fill="auto"/>
            <w:vAlign w:val="center"/>
          </w:tcPr>
          <w:p w:rsidR="00CA5837" w:rsidRPr="00F650B7" w:rsidRDefault="00FD1B86" w:rsidP="006D7147">
            <w:pPr>
              <w:jc w:val="right"/>
              <w:rPr>
                <w:sz w:val="20"/>
                <w:szCs w:val="20"/>
              </w:rPr>
            </w:pPr>
            <w:r w:rsidRPr="00F650B7">
              <w:rPr>
                <w:sz w:val="20"/>
                <w:szCs w:val="20"/>
              </w:rPr>
              <w:t>93,9</w:t>
            </w:r>
          </w:p>
        </w:tc>
        <w:tc>
          <w:tcPr>
            <w:tcW w:w="1746" w:type="dxa"/>
            <w:shd w:val="clear" w:color="auto" w:fill="auto"/>
            <w:vAlign w:val="center"/>
          </w:tcPr>
          <w:p w:rsidR="00CA5837" w:rsidRPr="00F650B7" w:rsidRDefault="00CA5837" w:rsidP="006D7147">
            <w:pPr>
              <w:jc w:val="right"/>
              <w:rPr>
                <w:sz w:val="20"/>
                <w:szCs w:val="20"/>
              </w:rPr>
            </w:pPr>
            <w:r w:rsidRPr="00F650B7">
              <w:rPr>
                <w:sz w:val="20"/>
                <w:szCs w:val="20"/>
              </w:rPr>
              <w:t>205,5</w:t>
            </w:r>
          </w:p>
        </w:tc>
      </w:tr>
      <w:tr w:rsidR="00F650B7" w:rsidRPr="00F650B7" w:rsidTr="00471EF1">
        <w:trPr>
          <w:trHeight w:val="20"/>
        </w:trPr>
        <w:tc>
          <w:tcPr>
            <w:tcW w:w="2269"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1.2. Неналоговые доходы</w:t>
            </w:r>
          </w:p>
        </w:tc>
        <w:tc>
          <w:tcPr>
            <w:tcW w:w="1479" w:type="dxa"/>
            <w:vAlign w:val="center"/>
          </w:tcPr>
          <w:p w:rsidR="00CA5837" w:rsidRPr="00F650B7" w:rsidRDefault="00CA5837" w:rsidP="006D7147">
            <w:pPr>
              <w:jc w:val="right"/>
              <w:rPr>
                <w:sz w:val="20"/>
                <w:szCs w:val="20"/>
              </w:rPr>
            </w:pPr>
            <w:r w:rsidRPr="00F650B7">
              <w:rPr>
                <w:sz w:val="20"/>
                <w:szCs w:val="20"/>
              </w:rPr>
              <w:t>16 359 758,5</w:t>
            </w:r>
          </w:p>
        </w:tc>
        <w:tc>
          <w:tcPr>
            <w:tcW w:w="1553" w:type="dxa"/>
            <w:vAlign w:val="center"/>
          </w:tcPr>
          <w:p w:rsidR="00CA5837" w:rsidRPr="00F650B7" w:rsidRDefault="00CA5837" w:rsidP="00FD1B86">
            <w:pPr>
              <w:jc w:val="right"/>
              <w:rPr>
                <w:sz w:val="20"/>
                <w:szCs w:val="20"/>
              </w:rPr>
            </w:pPr>
            <w:r w:rsidRPr="00F650B7">
              <w:rPr>
                <w:sz w:val="20"/>
                <w:szCs w:val="20"/>
              </w:rPr>
              <w:t>5,</w:t>
            </w:r>
            <w:r w:rsidR="00FD1B86" w:rsidRPr="00F650B7">
              <w:rPr>
                <w:sz w:val="20"/>
                <w:szCs w:val="20"/>
              </w:rPr>
              <w:t>3</w:t>
            </w:r>
          </w:p>
        </w:tc>
        <w:tc>
          <w:tcPr>
            <w:tcW w:w="1480" w:type="dxa"/>
            <w:shd w:val="clear" w:color="auto" w:fill="auto"/>
            <w:vAlign w:val="center"/>
          </w:tcPr>
          <w:p w:rsidR="00CA5837" w:rsidRPr="00F650B7" w:rsidRDefault="00CA5837" w:rsidP="006D7147">
            <w:pPr>
              <w:jc w:val="right"/>
              <w:rPr>
                <w:sz w:val="20"/>
                <w:szCs w:val="20"/>
              </w:rPr>
            </w:pPr>
            <w:r w:rsidRPr="00F650B7">
              <w:rPr>
                <w:sz w:val="20"/>
                <w:szCs w:val="20"/>
              </w:rPr>
              <w:t>16 013 919,9</w:t>
            </w:r>
          </w:p>
        </w:tc>
        <w:tc>
          <w:tcPr>
            <w:tcW w:w="1721" w:type="dxa"/>
            <w:shd w:val="clear" w:color="auto" w:fill="auto"/>
            <w:vAlign w:val="center"/>
          </w:tcPr>
          <w:p w:rsidR="00CA5837" w:rsidRPr="00F650B7" w:rsidRDefault="00CA5837" w:rsidP="006D7147">
            <w:pPr>
              <w:jc w:val="right"/>
              <w:rPr>
                <w:sz w:val="20"/>
                <w:szCs w:val="20"/>
              </w:rPr>
            </w:pPr>
            <w:r w:rsidRPr="00F650B7">
              <w:rPr>
                <w:sz w:val="20"/>
                <w:szCs w:val="20"/>
              </w:rPr>
              <w:t>2,8</w:t>
            </w:r>
          </w:p>
        </w:tc>
        <w:tc>
          <w:tcPr>
            <w:tcW w:w="1746" w:type="dxa"/>
            <w:shd w:val="clear" w:color="auto" w:fill="auto"/>
            <w:vAlign w:val="center"/>
          </w:tcPr>
          <w:p w:rsidR="00CA5837" w:rsidRPr="00F650B7" w:rsidRDefault="00CA5837" w:rsidP="006D7147">
            <w:pPr>
              <w:jc w:val="right"/>
              <w:rPr>
                <w:sz w:val="20"/>
                <w:szCs w:val="20"/>
              </w:rPr>
            </w:pPr>
            <w:r w:rsidRPr="00F650B7">
              <w:rPr>
                <w:sz w:val="20"/>
                <w:szCs w:val="20"/>
              </w:rPr>
              <w:t>97,9</w:t>
            </w:r>
          </w:p>
        </w:tc>
      </w:tr>
      <w:tr w:rsidR="00CA5837" w:rsidRPr="00F650B7" w:rsidTr="00471EF1">
        <w:trPr>
          <w:trHeight w:val="20"/>
        </w:trPr>
        <w:tc>
          <w:tcPr>
            <w:tcW w:w="2269" w:type="dxa"/>
          </w:tcPr>
          <w:p w:rsidR="00CA5837" w:rsidRPr="00F650B7" w:rsidRDefault="00CA5837" w:rsidP="006D7147">
            <w:pPr>
              <w:widowControl w:val="0"/>
              <w:autoSpaceDE w:val="0"/>
              <w:autoSpaceDN w:val="0"/>
              <w:rPr>
                <w:rFonts w:eastAsiaTheme="minorEastAsia"/>
                <w:sz w:val="20"/>
                <w:szCs w:val="20"/>
                <w:lang w:val="en-US"/>
              </w:rPr>
            </w:pPr>
            <w:r w:rsidRPr="00F650B7">
              <w:rPr>
                <w:rFonts w:eastAsiaTheme="minorEastAsia"/>
                <w:sz w:val="20"/>
                <w:szCs w:val="20"/>
              </w:rPr>
              <w:t>2. Безвозмездные поступления</w:t>
            </w:r>
          </w:p>
        </w:tc>
        <w:tc>
          <w:tcPr>
            <w:tcW w:w="1479" w:type="dxa"/>
            <w:vAlign w:val="center"/>
          </w:tcPr>
          <w:p w:rsidR="00CA5837" w:rsidRPr="00F650B7" w:rsidRDefault="00CA5837" w:rsidP="006D7147">
            <w:pPr>
              <w:jc w:val="right"/>
              <w:rPr>
                <w:sz w:val="20"/>
                <w:szCs w:val="20"/>
              </w:rPr>
            </w:pPr>
            <w:r w:rsidRPr="00F650B7">
              <w:rPr>
                <w:sz w:val="20"/>
                <w:szCs w:val="20"/>
              </w:rPr>
              <w:t>23 686 993,8</w:t>
            </w:r>
          </w:p>
        </w:tc>
        <w:tc>
          <w:tcPr>
            <w:tcW w:w="1553" w:type="dxa"/>
            <w:vAlign w:val="center"/>
          </w:tcPr>
          <w:p w:rsidR="00CA5837" w:rsidRPr="00F650B7" w:rsidRDefault="00CA5837" w:rsidP="006D7147">
            <w:pPr>
              <w:jc w:val="right"/>
              <w:rPr>
                <w:sz w:val="20"/>
                <w:szCs w:val="20"/>
              </w:rPr>
            </w:pPr>
            <w:r w:rsidRPr="00F650B7">
              <w:rPr>
                <w:sz w:val="20"/>
                <w:szCs w:val="20"/>
              </w:rPr>
              <w:t>7,7</w:t>
            </w:r>
          </w:p>
        </w:tc>
        <w:tc>
          <w:tcPr>
            <w:tcW w:w="1480" w:type="dxa"/>
            <w:shd w:val="clear" w:color="auto" w:fill="auto"/>
            <w:vAlign w:val="center"/>
          </w:tcPr>
          <w:p w:rsidR="00CA5837" w:rsidRPr="00F650B7" w:rsidRDefault="00CA5837" w:rsidP="006D7147">
            <w:pPr>
              <w:jc w:val="right"/>
              <w:rPr>
                <w:sz w:val="20"/>
                <w:szCs w:val="20"/>
              </w:rPr>
            </w:pPr>
            <w:r w:rsidRPr="00F650B7">
              <w:rPr>
                <w:sz w:val="20"/>
                <w:szCs w:val="20"/>
              </w:rPr>
              <w:t>19 344 270,5</w:t>
            </w:r>
          </w:p>
        </w:tc>
        <w:tc>
          <w:tcPr>
            <w:tcW w:w="1721" w:type="dxa"/>
            <w:shd w:val="clear" w:color="auto" w:fill="auto"/>
            <w:vAlign w:val="center"/>
          </w:tcPr>
          <w:p w:rsidR="00CA5837" w:rsidRPr="00F650B7" w:rsidRDefault="00CA5837" w:rsidP="006D7147">
            <w:pPr>
              <w:jc w:val="right"/>
              <w:rPr>
                <w:sz w:val="20"/>
                <w:szCs w:val="20"/>
              </w:rPr>
            </w:pPr>
            <w:r w:rsidRPr="00F650B7">
              <w:rPr>
                <w:sz w:val="20"/>
                <w:szCs w:val="20"/>
              </w:rPr>
              <w:t>3,3</w:t>
            </w:r>
          </w:p>
        </w:tc>
        <w:tc>
          <w:tcPr>
            <w:tcW w:w="1746" w:type="dxa"/>
            <w:shd w:val="clear" w:color="auto" w:fill="auto"/>
            <w:vAlign w:val="center"/>
          </w:tcPr>
          <w:p w:rsidR="00CA5837" w:rsidRPr="00F650B7" w:rsidRDefault="00CA5837" w:rsidP="006D7147">
            <w:pPr>
              <w:jc w:val="right"/>
              <w:rPr>
                <w:sz w:val="20"/>
                <w:szCs w:val="20"/>
              </w:rPr>
            </w:pPr>
            <w:r w:rsidRPr="00F650B7">
              <w:rPr>
                <w:sz w:val="20"/>
                <w:szCs w:val="20"/>
              </w:rPr>
              <w:t>81,7</w:t>
            </w:r>
          </w:p>
        </w:tc>
      </w:tr>
    </w:tbl>
    <w:p w:rsidR="00CA5837" w:rsidRPr="00F650B7" w:rsidRDefault="00CA5837" w:rsidP="00CA5837">
      <w:pPr>
        <w:widowControl w:val="0"/>
        <w:autoSpaceDE w:val="0"/>
        <w:autoSpaceDN w:val="0"/>
        <w:ind w:firstLine="709"/>
        <w:jc w:val="both"/>
        <w:rPr>
          <w:rFonts w:eastAsiaTheme="minorEastAsia"/>
          <w:sz w:val="28"/>
          <w:szCs w:val="28"/>
          <w:highlight w:val="yellow"/>
        </w:rPr>
      </w:pP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В структуре доходной части консолидированного бюджета Ленинградской области в период 2023-2034 годов основной удельный вес (от 92,3% до 96,7%) занимают налоговые и неналоговые доходы.</w:t>
      </w:r>
    </w:p>
    <w:p w:rsidR="003C3DDD" w:rsidRPr="00F650B7" w:rsidRDefault="003C3DDD" w:rsidP="00D16555">
      <w:pPr>
        <w:widowControl w:val="0"/>
        <w:autoSpaceDE w:val="0"/>
        <w:autoSpaceDN w:val="0"/>
        <w:ind w:firstLine="709"/>
        <w:jc w:val="both"/>
        <w:rPr>
          <w:rFonts w:eastAsiaTheme="minorEastAsia"/>
          <w:sz w:val="28"/>
          <w:szCs w:val="28"/>
        </w:rPr>
      </w:pPr>
      <w:r w:rsidRPr="00F650B7">
        <w:rPr>
          <w:rFonts w:eastAsiaTheme="minorEastAsia"/>
          <w:sz w:val="28"/>
          <w:szCs w:val="28"/>
        </w:rPr>
        <w:t xml:space="preserve">Доля безвозмездных поступлений в общем объеме доходов сократится с </w:t>
      </w:r>
      <w:r w:rsidR="004E5959" w:rsidRPr="00F650B7">
        <w:rPr>
          <w:rFonts w:eastAsiaTheme="minorEastAsia"/>
          <w:sz w:val="28"/>
          <w:szCs w:val="28"/>
        </w:rPr>
        <w:t>7,7</w:t>
      </w:r>
      <w:r w:rsidRPr="00F650B7">
        <w:rPr>
          <w:rFonts w:eastAsiaTheme="minorEastAsia"/>
          <w:sz w:val="28"/>
          <w:szCs w:val="28"/>
        </w:rPr>
        <w:t xml:space="preserve">% в 2023 году до </w:t>
      </w:r>
      <w:r w:rsidR="008D7B4F" w:rsidRPr="00F650B7">
        <w:rPr>
          <w:rFonts w:eastAsiaTheme="minorEastAsia"/>
          <w:sz w:val="28"/>
          <w:szCs w:val="28"/>
        </w:rPr>
        <w:t>3,</w:t>
      </w:r>
      <w:r w:rsidR="00CA5837" w:rsidRPr="00F650B7">
        <w:rPr>
          <w:rFonts w:eastAsiaTheme="minorEastAsia"/>
          <w:sz w:val="28"/>
          <w:szCs w:val="28"/>
        </w:rPr>
        <w:t>3</w:t>
      </w:r>
      <w:r w:rsidRPr="00F650B7">
        <w:rPr>
          <w:rFonts w:eastAsiaTheme="minorEastAsia"/>
          <w:sz w:val="28"/>
          <w:szCs w:val="28"/>
        </w:rPr>
        <w:t>% в 2034 году.</w:t>
      </w:r>
    </w:p>
    <w:p w:rsidR="003C3DDD" w:rsidRPr="00F650B7" w:rsidRDefault="003C3DDD" w:rsidP="00D16555">
      <w:pPr>
        <w:widowControl w:val="0"/>
        <w:autoSpaceDE w:val="0"/>
        <w:autoSpaceDN w:val="0"/>
        <w:ind w:firstLine="709"/>
        <w:jc w:val="both"/>
        <w:rPr>
          <w:rFonts w:eastAsiaTheme="minorEastAsia"/>
          <w:sz w:val="28"/>
          <w:szCs w:val="28"/>
          <w:highlight w:val="yellow"/>
        </w:rPr>
      </w:pP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Структура и динамика налоговых и неналоговых доходов консолидированного бюджета Ленинградской области за период 2023-2034 годов характеризуются следующими показателями:</w:t>
      </w:r>
    </w:p>
    <w:p w:rsidR="004D4A39" w:rsidRPr="00F650B7" w:rsidRDefault="004D4A39" w:rsidP="00CA5837">
      <w:pPr>
        <w:widowControl w:val="0"/>
        <w:autoSpaceDE w:val="0"/>
        <w:autoSpaceDN w:val="0"/>
        <w:ind w:firstLine="709"/>
        <w:jc w:val="both"/>
        <w:rPr>
          <w:rFonts w:eastAsiaTheme="minorEastAsia"/>
          <w:sz w:val="28"/>
          <w:szCs w:val="28"/>
        </w:rPr>
      </w:pPr>
    </w:p>
    <w:p w:rsidR="00CA5837" w:rsidRPr="00F650B7" w:rsidRDefault="00CA5837" w:rsidP="00CA5837">
      <w:pPr>
        <w:widowControl w:val="0"/>
        <w:autoSpaceDE w:val="0"/>
        <w:autoSpaceDN w:val="0"/>
        <w:ind w:firstLine="709"/>
        <w:jc w:val="right"/>
        <w:rPr>
          <w:rFonts w:eastAsiaTheme="minorEastAsia"/>
          <w:sz w:val="20"/>
          <w:szCs w:val="20"/>
        </w:rPr>
      </w:pPr>
      <w:r w:rsidRPr="00F650B7">
        <w:rPr>
          <w:rFonts w:eastAsiaTheme="minorEastAsia"/>
          <w:sz w:val="20"/>
          <w:szCs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1472"/>
        <w:gridCol w:w="1646"/>
        <w:gridCol w:w="1418"/>
        <w:gridCol w:w="1559"/>
        <w:gridCol w:w="1701"/>
      </w:tblGrid>
      <w:tr w:rsidR="00F650B7" w:rsidRPr="00F650B7" w:rsidTr="006D7147">
        <w:trPr>
          <w:trHeight w:val="946"/>
        </w:trPr>
        <w:tc>
          <w:tcPr>
            <w:tcW w:w="2472"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Показатель</w:t>
            </w:r>
          </w:p>
        </w:tc>
        <w:tc>
          <w:tcPr>
            <w:tcW w:w="1472"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20</w:t>
            </w:r>
            <w:r w:rsidRPr="00F650B7">
              <w:rPr>
                <w:rFonts w:eastAsiaTheme="minorEastAsia"/>
                <w:b/>
                <w:sz w:val="20"/>
                <w:szCs w:val="20"/>
                <w:lang w:val="en-US"/>
              </w:rPr>
              <w:t>23</w:t>
            </w:r>
            <w:r w:rsidRPr="00F650B7">
              <w:rPr>
                <w:rFonts w:eastAsiaTheme="minorEastAsia"/>
                <w:b/>
                <w:sz w:val="20"/>
                <w:szCs w:val="20"/>
              </w:rPr>
              <w:t xml:space="preserve"> год</w:t>
            </w:r>
          </w:p>
        </w:tc>
        <w:tc>
          <w:tcPr>
            <w:tcW w:w="1646"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Удельный вес в общем объеме налоговых и неналоговых доходов, %</w:t>
            </w:r>
          </w:p>
        </w:tc>
        <w:tc>
          <w:tcPr>
            <w:tcW w:w="1418"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20</w:t>
            </w:r>
            <w:r w:rsidRPr="00F650B7">
              <w:rPr>
                <w:rFonts w:eastAsiaTheme="minorEastAsia"/>
                <w:b/>
                <w:sz w:val="20"/>
                <w:szCs w:val="20"/>
                <w:lang w:val="en-US"/>
              </w:rPr>
              <w:t>34</w:t>
            </w:r>
            <w:r w:rsidRPr="00F650B7">
              <w:rPr>
                <w:rFonts w:eastAsiaTheme="minorEastAsia"/>
                <w:b/>
                <w:sz w:val="20"/>
                <w:szCs w:val="20"/>
              </w:rPr>
              <w:t xml:space="preserve"> год</w:t>
            </w:r>
          </w:p>
        </w:tc>
        <w:tc>
          <w:tcPr>
            <w:tcW w:w="1559"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Удельный вес в общем объеме налоговых и неналоговых доходов, %</w:t>
            </w:r>
          </w:p>
        </w:tc>
        <w:tc>
          <w:tcPr>
            <w:tcW w:w="1701" w:type="dxa"/>
          </w:tcPr>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Динамика</w:t>
            </w:r>
          </w:p>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 xml:space="preserve"> за период</w:t>
            </w:r>
          </w:p>
          <w:p w:rsidR="00CA5837" w:rsidRPr="00F650B7" w:rsidRDefault="00CA5837" w:rsidP="006D7147">
            <w:pPr>
              <w:widowControl w:val="0"/>
              <w:autoSpaceDE w:val="0"/>
              <w:autoSpaceDN w:val="0"/>
              <w:jc w:val="center"/>
              <w:rPr>
                <w:rFonts w:eastAsiaTheme="minorEastAsia"/>
                <w:b/>
                <w:sz w:val="20"/>
                <w:szCs w:val="20"/>
              </w:rPr>
            </w:pPr>
            <w:r w:rsidRPr="00F650B7">
              <w:rPr>
                <w:rFonts w:eastAsiaTheme="minorEastAsia"/>
                <w:b/>
                <w:sz w:val="20"/>
                <w:szCs w:val="20"/>
              </w:rPr>
              <w:t>20</w:t>
            </w:r>
            <w:r w:rsidRPr="00F650B7">
              <w:rPr>
                <w:rFonts w:eastAsiaTheme="minorEastAsia"/>
                <w:b/>
                <w:sz w:val="20"/>
                <w:szCs w:val="20"/>
                <w:lang w:val="en-US"/>
              </w:rPr>
              <w:t>23</w:t>
            </w:r>
            <w:r w:rsidRPr="00F650B7">
              <w:rPr>
                <w:rFonts w:eastAsiaTheme="minorEastAsia"/>
                <w:b/>
                <w:sz w:val="20"/>
                <w:szCs w:val="20"/>
              </w:rPr>
              <w:t>-20</w:t>
            </w:r>
            <w:r w:rsidRPr="00F650B7">
              <w:rPr>
                <w:rFonts w:eastAsiaTheme="minorEastAsia"/>
                <w:b/>
                <w:sz w:val="20"/>
                <w:szCs w:val="20"/>
                <w:lang w:val="en-US"/>
              </w:rPr>
              <w:t>34</w:t>
            </w:r>
            <w:r w:rsidRPr="00F650B7">
              <w:rPr>
                <w:rFonts w:eastAsiaTheme="minorEastAsia"/>
                <w:b/>
                <w:sz w:val="20"/>
                <w:szCs w:val="20"/>
              </w:rPr>
              <w:t xml:space="preserve"> годов, %</w:t>
            </w:r>
          </w:p>
        </w:tc>
      </w:tr>
      <w:tr w:rsidR="00F650B7" w:rsidRPr="00F650B7" w:rsidTr="00FD1B86">
        <w:trPr>
          <w:trHeight w:val="20"/>
        </w:trPr>
        <w:tc>
          <w:tcPr>
            <w:tcW w:w="2472" w:type="dxa"/>
          </w:tcPr>
          <w:p w:rsidR="00CA5837" w:rsidRPr="00F650B7" w:rsidRDefault="00CA5837" w:rsidP="006D7147">
            <w:pPr>
              <w:widowControl w:val="0"/>
              <w:autoSpaceDE w:val="0"/>
              <w:autoSpaceDN w:val="0"/>
              <w:rPr>
                <w:rFonts w:eastAsiaTheme="minorEastAsia"/>
                <w:b/>
                <w:sz w:val="20"/>
                <w:szCs w:val="20"/>
              </w:rPr>
            </w:pPr>
            <w:r w:rsidRPr="00F650B7">
              <w:rPr>
                <w:rFonts w:eastAsiaTheme="minorEastAsia"/>
                <w:b/>
                <w:sz w:val="20"/>
                <w:szCs w:val="20"/>
              </w:rPr>
              <w:t>Налоговые и неналоговые доходы</w:t>
            </w:r>
          </w:p>
        </w:tc>
        <w:tc>
          <w:tcPr>
            <w:tcW w:w="1472" w:type="dxa"/>
            <w:shd w:val="clear" w:color="auto" w:fill="auto"/>
            <w:vAlign w:val="center"/>
          </w:tcPr>
          <w:p w:rsidR="00CA5837" w:rsidRPr="00F650B7" w:rsidRDefault="00CA5837" w:rsidP="006D7147">
            <w:pPr>
              <w:jc w:val="right"/>
              <w:rPr>
                <w:b/>
                <w:bCs/>
                <w:sz w:val="20"/>
                <w:szCs w:val="20"/>
              </w:rPr>
            </w:pPr>
            <w:r w:rsidRPr="00F650B7">
              <w:rPr>
                <w:b/>
                <w:bCs/>
                <w:sz w:val="20"/>
                <w:szCs w:val="20"/>
              </w:rPr>
              <w:t>282 401 010,8</w:t>
            </w:r>
          </w:p>
        </w:tc>
        <w:tc>
          <w:tcPr>
            <w:tcW w:w="1646" w:type="dxa"/>
            <w:shd w:val="clear" w:color="auto" w:fill="auto"/>
            <w:vAlign w:val="center"/>
          </w:tcPr>
          <w:p w:rsidR="00CA5837" w:rsidRPr="00F650B7" w:rsidRDefault="00CA5837" w:rsidP="006D7147">
            <w:pPr>
              <w:jc w:val="right"/>
              <w:rPr>
                <w:b/>
                <w:bCs/>
                <w:sz w:val="20"/>
                <w:szCs w:val="20"/>
              </w:rPr>
            </w:pPr>
            <w:r w:rsidRPr="00F650B7">
              <w:rPr>
                <w:b/>
                <w:bCs/>
                <w:sz w:val="20"/>
                <w:szCs w:val="20"/>
              </w:rPr>
              <w:t>100,0</w:t>
            </w:r>
          </w:p>
        </w:tc>
        <w:tc>
          <w:tcPr>
            <w:tcW w:w="1418" w:type="dxa"/>
            <w:shd w:val="clear" w:color="auto" w:fill="auto"/>
            <w:vAlign w:val="center"/>
          </w:tcPr>
          <w:p w:rsidR="00CA5837" w:rsidRPr="00F650B7" w:rsidRDefault="00CA5837" w:rsidP="006D7147">
            <w:pPr>
              <w:jc w:val="right"/>
              <w:rPr>
                <w:b/>
                <w:bCs/>
                <w:sz w:val="20"/>
                <w:szCs w:val="20"/>
              </w:rPr>
            </w:pPr>
            <w:r w:rsidRPr="00F650B7">
              <w:rPr>
                <w:b/>
                <w:bCs/>
                <w:sz w:val="20"/>
                <w:szCs w:val="20"/>
              </w:rPr>
              <w:t>562 620 219,0</w:t>
            </w:r>
          </w:p>
        </w:tc>
        <w:tc>
          <w:tcPr>
            <w:tcW w:w="1559" w:type="dxa"/>
            <w:shd w:val="clear" w:color="auto" w:fill="auto"/>
            <w:vAlign w:val="center"/>
          </w:tcPr>
          <w:p w:rsidR="00CA5837" w:rsidRPr="00F650B7" w:rsidRDefault="00CA5837" w:rsidP="006D7147">
            <w:pPr>
              <w:jc w:val="right"/>
              <w:rPr>
                <w:b/>
                <w:bCs/>
                <w:sz w:val="20"/>
                <w:szCs w:val="20"/>
              </w:rPr>
            </w:pPr>
            <w:r w:rsidRPr="00F650B7">
              <w:rPr>
                <w:b/>
                <w:bCs/>
                <w:sz w:val="20"/>
                <w:szCs w:val="20"/>
              </w:rPr>
              <w:t>100,0</w:t>
            </w:r>
          </w:p>
        </w:tc>
        <w:tc>
          <w:tcPr>
            <w:tcW w:w="1701" w:type="dxa"/>
            <w:shd w:val="clear" w:color="auto" w:fill="auto"/>
            <w:vAlign w:val="center"/>
          </w:tcPr>
          <w:p w:rsidR="00CA5837" w:rsidRPr="00F650B7" w:rsidRDefault="00CA5837" w:rsidP="006D7147">
            <w:pPr>
              <w:jc w:val="right"/>
              <w:rPr>
                <w:b/>
                <w:bCs/>
                <w:sz w:val="20"/>
                <w:szCs w:val="20"/>
              </w:rPr>
            </w:pPr>
            <w:r w:rsidRPr="00F650B7">
              <w:rPr>
                <w:b/>
                <w:bCs/>
                <w:sz w:val="20"/>
                <w:szCs w:val="20"/>
              </w:rPr>
              <w:t>199,2</w:t>
            </w:r>
          </w:p>
        </w:tc>
      </w:tr>
      <w:tr w:rsidR="00F650B7" w:rsidRPr="00F650B7" w:rsidTr="00FD1B86">
        <w:trPr>
          <w:trHeight w:val="20"/>
        </w:trPr>
        <w:tc>
          <w:tcPr>
            <w:tcW w:w="2472" w:type="dxa"/>
          </w:tcPr>
          <w:p w:rsidR="00CA5837" w:rsidRPr="00F650B7" w:rsidRDefault="00CA5837" w:rsidP="006D7147">
            <w:pPr>
              <w:pStyle w:val="a9"/>
              <w:widowControl w:val="0"/>
              <w:numPr>
                <w:ilvl w:val="1"/>
                <w:numId w:val="1"/>
              </w:numPr>
              <w:autoSpaceDE w:val="0"/>
              <w:autoSpaceDN w:val="0"/>
              <w:rPr>
                <w:rFonts w:eastAsiaTheme="minorEastAsia"/>
                <w:sz w:val="20"/>
                <w:szCs w:val="20"/>
              </w:rPr>
            </w:pPr>
            <w:r w:rsidRPr="00F650B7">
              <w:rPr>
                <w:rFonts w:eastAsiaTheme="minorEastAsia"/>
                <w:sz w:val="20"/>
                <w:szCs w:val="20"/>
              </w:rPr>
              <w:t>Налоговые доходы</w:t>
            </w:r>
          </w:p>
        </w:tc>
        <w:tc>
          <w:tcPr>
            <w:tcW w:w="1472" w:type="dxa"/>
            <w:shd w:val="clear" w:color="auto" w:fill="auto"/>
            <w:vAlign w:val="center"/>
          </w:tcPr>
          <w:p w:rsidR="00CA5837" w:rsidRPr="00F650B7" w:rsidRDefault="00CA5837" w:rsidP="006D7147">
            <w:pPr>
              <w:jc w:val="right"/>
              <w:rPr>
                <w:sz w:val="20"/>
                <w:szCs w:val="20"/>
              </w:rPr>
            </w:pPr>
            <w:r w:rsidRPr="00F650B7">
              <w:rPr>
                <w:sz w:val="20"/>
                <w:szCs w:val="20"/>
              </w:rPr>
              <w:t>266 041 252,3</w:t>
            </w:r>
          </w:p>
        </w:tc>
        <w:tc>
          <w:tcPr>
            <w:tcW w:w="1646" w:type="dxa"/>
            <w:shd w:val="clear" w:color="auto" w:fill="auto"/>
            <w:vAlign w:val="center"/>
          </w:tcPr>
          <w:p w:rsidR="00CA5837" w:rsidRPr="00F650B7" w:rsidRDefault="00CA5837" w:rsidP="006D7147">
            <w:pPr>
              <w:jc w:val="right"/>
              <w:rPr>
                <w:sz w:val="20"/>
                <w:szCs w:val="20"/>
              </w:rPr>
            </w:pPr>
            <w:r w:rsidRPr="00F650B7">
              <w:rPr>
                <w:sz w:val="20"/>
                <w:szCs w:val="20"/>
              </w:rPr>
              <w:t>94,2</w:t>
            </w:r>
          </w:p>
        </w:tc>
        <w:tc>
          <w:tcPr>
            <w:tcW w:w="1418" w:type="dxa"/>
            <w:shd w:val="clear" w:color="auto" w:fill="auto"/>
            <w:vAlign w:val="center"/>
          </w:tcPr>
          <w:p w:rsidR="00CA5837" w:rsidRPr="00F650B7" w:rsidRDefault="00CA5837" w:rsidP="006D7147">
            <w:pPr>
              <w:jc w:val="right"/>
              <w:rPr>
                <w:sz w:val="20"/>
                <w:szCs w:val="20"/>
              </w:rPr>
            </w:pPr>
            <w:r w:rsidRPr="00F650B7">
              <w:rPr>
                <w:sz w:val="20"/>
                <w:szCs w:val="20"/>
              </w:rPr>
              <w:t>546 606 299,1</w:t>
            </w:r>
          </w:p>
        </w:tc>
        <w:tc>
          <w:tcPr>
            <w:tcW w:w="1559" w:type="dxa"/>
            <w:shd w:val="clear" w:color="auto" w:fill="auto"/>
            <w:vAlign w:val="center"/>
          </w:tcPr>
          <w:p w:rsidR="00CA5837" w:rsidRPr="00F650B7" w:rsidRDefault="00CA5837" w:rsidP="006D7147">
            <w:pPr>
              <w:jc w:val="right"/>
              <w:rPr>
                <w:sz w:val="20"/>
                <w:szCs w:val="20"/>
              </w:rPr>
            </w:pPr>
            <w:r w:rsidRPr="00F650B7">
              <w:rPr>
                <w:sz w:val="20"/>
                <w:szCs w:val="20"/>
              </w:rPr>
              <w:t>97,2</w:t>
            </w:r>
          </w:p>
        </w:tc>
        <w:tc>
          <w:tcPr>
            <w:tcW w:w="1701" w:type="dxa"/>
            <w:shd w:val="clear" w:color="auto" w:fill="auto"/>
            <w:vAlign w:val="center"/>
          </w:tcPr>
          <w:p w:rsidR="00CA5837" w:rsidRPr="00F650B7" w:rsidRDefault="00CA5837" w:rsidP="006D7147">
            <w:pPr>
              <w:jc w:val="right"/>
              <w:rPr>
                <w:sz w:val="20"/>
                <w:szCs w:val="20"/>
              </w:rPr>
            </w:pPr>
            <w:r w:rsidRPr="00F650B7">
              <w:rPr>
                <w:sz w:val="20"/>
                <w:szCs w:val="20"/>
              </w:rPr>
              <w:t>205,5</w:t>
            </w:r>
          </w:p>
        </w:tc>
      </w:tr>
      <w:tr w:rsidR="00F650B7" w:rsidRPr="00F650B7" w:rsidTr="00FD1B86">
        <w:trPr>
          <w:trHeight w:val="20"/>
        </w:trPr>
        <w:tc>
          <w:tcPr>
            <w:tcW w:w="2472"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в том числе:</w:t>
            </w:r>
          </w:p>
        </w:tc>
        <w:tc>
          <w:tcPr>
            <w:tcW w:w="1472" w:type="dxa"/>
            <w:shd w:val="clear" w:color="auto" w:fill="auto"/>
            <w:vAlign w:val="center"/>
          </w:tcPr>
          <w:p w:rsidR="00CA5837" w:rsidRPr="00F650B7" w:rsidRDefault="00CA5837" w:rsidP="006D7147">
            <w:pPr>
              <w:jc w:val="right"/>
              <w:rPr>
                <w:sz w:val="20"/>
                <w:szCs w:val="20"/>
              </w:rPr>
            </w:pPr>
            <w:r w:rsidRPr="00F650B7">
              <w:rPr>
                <w:sz w:val="20"/>
                <w:szCs w:val="20"/>
              </w:rPr>
              <w:t> </w:t>
            </w:r>
          </w:p>
        </w:tc>
        <w:tc>
          <w:tcPr>
            <w:tcW w:w="1646" w:type="dxa"/>
            <w:shd w:val="clear" w:color="auto" w:fill="auto"/>
            <w:vAlign w:val="center"/>
          </w:tcPr>
          <w:p w:rsidR="00CA5837" w:rsidRPr="00F650B7" w:rsidRDefault="00CA5837" w:rsidP="006D7147">
            <w:pPr>
              <w:jc w:val="right"/>
              <w:rPr>
                <w:sz w:val="20"/>
                <w:szCs w:val="20"/>
              </w:rPr>
            </w:pPr>
            <w:r w:rsidRPr="00F650B7">
              <w:rPr>
                <w:sz w:val="20"/>
                <w:szCs w:val="20"/>
              </w:rPr>
              <w:t> </w:t>
            </w:r>
          </w:p>
        </w:tc>
        <w:tc>
          <w:tcPr>
            <w:tcW w:w="1418" w:type="dxa"/>
            <w:shd w:val="clear" w:color="auto" w:fill="auto"/>
            <w:vAlign w:val="center"/>
          </w:tcPr>
          <w:p w:rsidR="00CA5837" w:rsidRPr="00F650B7" w:rsidRDefault="00CA5837" w:rsidP="006D7147">
            <w:pPr>
              <w:jc w:val="right"/>
              <w:rPr>
                <w:sz w:val="20"/>
                <w:szCs w:val="20"/>
              </w:rPr>
            </w:pPr>
            <w:r w:rsidRPr="00F650B7">
              <w:rPr>
                <w:sz w:val="20"/>
                <w:szCs w:val="20"/>
              </w:rPr>
              <w:t> </w:t>
            </w:r>
          </w:p>
        </w:tc>
        <w:tc>
          <w:tcPr>
            <w:tcW w:w="1559" w:type="dxa"/>
            <w:shd w:val="clear" w:color="auto" w:fill="auto"/>
            <w:vAlign w:val="center"/>
          </w:tcPr>
          <w:p w:rsidR="00CA5837" w:rsidRPr="00F650B7" w:rsidRDefault="00CA5837" w:rsidP="006D7147">
            <w:pPr>
              <w:jc w:val="right"/>
              <w:rPr>
                <w:sz w:val="20"/>
                <w:szCs w:val="20"/>
              </w:rPr>
            </w:pPr>
            <w:r w:rsidRPr="00F650B7">
              <w:rPr>
                <w:sz w:val="20"/>
                <w:szCs w:val="20"/>
              </w:rPr>
              <w:t> </w:t>
            </w:r>
          </w:p>
        </w:tc>
        <w:tc>
          <w:tcPr>
            <w:tcW w:w="1701" w:type="dxa"/>
            <w:shd w:val="clear" w:color="auto" w:fill="auto"/>
            <w:vAlign w:val="center"/>
          </w:tcPr>
          <w:p w:rsidR="00CA5837" w:rsidRPr="00F650B7" w:rsidRDefault="00CA5837" w:rsidP="006D7147">
            <w:pPr>
              <w:jc w:val="right"/>
              <w:rPr>
                <w:sz w:val="20"/>
                <w:szCs w:val="20"/>
              </w:rPr>
            </w:pPr>
            <w:r w:rsidRPr="00F650B7">
              <w:rPr>
                <w:sz w:val="20"/>
                <w:szCs w:val="20"/>
              </w:rPr>
              <w:t> </w:t>
            </w:r>
          </w:p>
        </w:tc>
      </w:tr>
      <w:tr w:rsidR="00F650B7" w:rsidRPr="00F650B7" w:rsidTr="00FD1B86">
        <w:trPr>
          <w:trHeight w:val="20"/>
        </w:trPr>
        <w:tc>
          <w:tcPr>
            <w:tcW w:w="2472"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налог на прибыль организаций</w:t>
            </w:r>
          </w:p>
        </w:tc>
        <w:tc>
          <w:tcPr>
            <w:tcW w:w="1472" w:type="dxa"/>
            <w:shd w:val="clear" w:color="auto" w:fill="auto"/>
            <w:vAlign w:val="center"/>
          </w:tcPr>
          <w:p w:rsidR="00CA5837" w:rsidRPr="00F650B7" w:rsidRDefault="00CA5837" w:rsidP="006D7147">
            <w:pPr>
              <w:jc w:val="right"/>
              <w:rPr>
                <w:sz w:val="20"/>
                <w:szCs w:val="20"/>
              </w:rPr>
            </w:pPr>
            <w:r w:rsidRPr="00F650B7">
              <w:rPr>
                <w:sz w:val="20"/>
                <w:szCs w:val="20"/>
              </w:rPr>
              <w:t>124 470 473,2</w:t>
            </w:r>
          </w:p>
        </w:tc>
        <w:tc>
          <w:tcPr>
            <w:tcW w:w="1646" w:type="dxa"/>
            <w:shd w:val="clear" w:color="auto" w:fill="auto"/>
            <w:vAlign w:val="center"/>
          </w:tcPr>
          <w:p w:rsidR="00CA5837" w:rsidRPr="00F650B7" w:rsidRDefault="004F0544" w:rsidP="006D7147">
            <w:pPr>
              <w:jc w:val="right"/>
              <w:rPr>
                <w:sz w:val="20"/>
                <w:szCs w:val="20"/>
              </w:rPr>
            </w:pPr>
            <w:r w:rsidRPr="00F650B7">
              <w:rPr>
                <w:sz w:val="20"/>
                <w:szCs w:val="20"/>
              </w:rPr>
              <w:t>44,1</w:t>
            </w:r>
          </w:p>
        </w:tc>
        <w:tc>
          <w:tcPr>
            <w:tcW w:w="1418" w:type="dxa"/>
            <w:shd w:val="clear" w:color="auto" w:fill="auto"/>
            <w:vAlign w:val="center"/>
          </w:tcPr>
          <w:p w:rsidR="00CA5837" w:rsidRPr="00F650B7" w:rsidRDefault="00CA5837" w:rsidP="006D7147">
            <w:pPr>
              <w:jc w:val="right"/>
              <w:rPr>
                <w:sz w:val="20"/>
                <w:szCs w:val="20"/>
              </w:rPr>
            </w:pPr>
            <w:r w:rsidRPr="00F650B7">
              <w:rPr>
                <w:sz w:val="20"/>
                <w:szCs w:val="20"/>
              </w:rPr>
              <w:t>197 539 612,8</w:t>
            </w:r>
          </w:p>
        </w:tc>
        <w:tc>
          <w:tcPr>
            <w:tcW w:w="1559" w:type="dxa"/>
            <w:shd w:val="clear" w:color="auto" w:fill="auto"/>
            <w:vAlign w:val="center"/>
          </w:tcPr>
          <w:p w:rsidR="00CA5837" w:rsidRPr="00F650B7" w:rsidRDefault="004F0544" w:rsidP="006D7147">
            <w:pPr>
              <w:jc w:val="right"/>
              <w:rPr>
                <w:sz w:val="20"/>
                <w:szCs w:val="20"/>
              </w:rPr>
            </w:pPr>
            <w:r w:rsidRPr="00F650B7">
              <w:rPr>
                <w:sz w:val="20"/>
                <w:szCs w:val="20"/>
              </w:rPr>
              <w:t>35,1</w:t>
            </w:r>
          </w:p>
        </w:tc>
        <w:tc>
          <w:tcPr>
            <w:tcW w:w="1701" w:type="dxa"/>
            <w:shd w:val="clear" w:color="auto" w:fill="auto"/>
            <w:vAlign w:val="center"/>
          </w:tcPr>
          <w:p w:rsidR="00CA5837" w:rsidRPr="00F650B7" w:rsidRDefault="00CA5837" w:rsidP="006D7147">
            <w:pPr>
              <w:jc w:val="right"/>
              <w:rPr>
                <w:sz w:val="20"/>
                <w:szCs w:val="20"/>
              </w:rPr>
            </w:pPr>
            <w:r w:rsidRPr="00F650B7">
              <w:rPr>
                <w:sz w:val="20"/>
                <w:szCs w:val="20"/>
              </w:rPr>
              <w:t>158,7</w:t>
            </w:r>
          </w:p>
        </w:tc>
      </w:tr>
      <w:tr w:rsidR="00F650B7" w:rsidRPr="00F650B7" w:rsidTr="00FD1B86">
        <w:trPr>
          <w:trHeight w:val="33"/>
        </w:trPr>
        <w:tc>
          <w:tcPr>
            <w:tcW w:w="2472"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налог на доходы физических лиц</w:t>
            </w:r>
          </w:p>
        </w:tc>
        <w:tc>
          <w:tcPr>
            <w:tcW w:w="1472" w:type="dxa"/>
            <w:shd w:val="clear" w:color="auto" w:fill="auto"/>
            <w:vAlign w:val="center"/>
          </w:tcPr>
          <w:p w:rsidR="00CA5837" w:rsidRPr="00F650B7" w:rsidRDefault="00CA5837" w:rsidP="006D7147">
            <w:pPr>
              <w:jc w:val="right"/>
              <w:rPr>
                <w:sz w:val="20"/>
                <w:szCs w:val="20"/>
              </w:rPr>
            </w:pPr>
            <w:r w:rsidRPr="00F650B7">
              <w:rPr>
                <w:sz w:val="20"/>
                <w:szCs w:val="20"/>
              </w:rPr>
              <w:t>74 883 308,2</w:t>
            </w:r>
          </w:p>
        </w:tc>
        <w:tc>
          <w:tcPr>
            <w:tcW w:w="1646" w:type="dxa"/>
            <w:shd w:val="clear" w:color="auto" w:fill="auto"/>
            <w:vAlign w:val="center"/>
          </w:tcPr>
          <w:p w:rsidR="00CA5837" w:rsidRPr="00F650B7" w:rsidRDefault="004F0544" w:rsidP="006D7147">
            <w:pPr>
              <w:jc w:val="right"/>
              <w:rPr>
                <w:sz w:val="20"/>
                <w:szCs w:val="20"/>
              </w:rPr>
            </w:pPr>
            <w:r w:rsidRPr="00F650B7">
              <w:rPr>
                <w:sz w:val="20"/>
                <w:szCs w:val="20"/>
              </w:rPr>
              <w:t>26,5</w:t>
            </w:r>
          </w:p>
        </w:tc>
        <w:tc>
          <w:tcPr>
            <w:tcW w:w="1418" w:type="dxa"/>
            <w:shd w:val="clear" w:color="auto" w:fill="auto"/>
            <w:vAlign w:val="center"/>
          </w:tcPr>
          <w:p w:rsidR="00CA5837" w:rsidRPr="00F650B7" w:rsidRDefault="00CA5837" w:rsidP="006D7147">
            <w:pPr>
              <w:jc w:val="right"/>
              <w:rPr>
                <w:sz w:val="20"/>
                <w:szCs w:val="20"/>
              </w:rPr>
            </w:pPr>
            <w:r w:rsidRPr="00F650B7">
              <w:rPr>
                <w:sz w:val="20"/>
                <w:szCs w:val="20"/>
              </w:rPr>
              <w:t>221 453 065,5</w:t>
            </w:r>
          </w:p>
        </w:tc>
        <w:tc>
          <w:tcPr>
            <w:tcW w:w="1559" w:type="dxa"/>
            <w:shd w:val="clear" w:color="auto" w:fill="auto"/>
            <w:vAlign w:val="center"/>
          </w:tcPr>
          <w:p w:rsidR="00CA5837" w:rsidRPr="00F650B7" w:rsidRDefault="004F0544" w:rsidP="006D7147">
            <w:pPr>
              <w:jc w:val="right"/>
              <w:rPr>
                <w:sz w:val="20"/>
                <w:szCs w:val="20"/>
              </w:rPr>
            </w:pPr>
            <w:r w:rsidRPr="00F650B7">
              <w:rPr>
                <w:sz w:val="20"/>
                <w:szCs w:val="20"/>
              </w:rPr>
              <w:t>39,4</w:t>
            </w:r>
          </w:p>
        </w:tc>
        <w:tc>
          <w:tcPr>
            <w:tcW w:w="1701" w:type="dxa"/>
            <w:shd w:val="clear" w:color="auto" w:fill="auto"/>
            <w:vAlign w:val="center"/>
          </w:tcPr>
          <w:p w:rsidR="00CA5837" w:rsidRPr="00F650B7" w:rsidRDefault="00CA5837" w:rsidP="006D7147">
            <w:pPr>
              <w:jc w:val="right"/>
              <w:rPr>
                <w:sz w:val="20"/>
                <w:szCs w:val="20"/>
              </w:rPr>
            </w:pPr>
            <w:r w:rsidRPr="00F650B7">
              <w:rPr>
                <w:sz w:val="20"/>
                <w:szCs w:val="20"/>
              </w:rPr>
              <w:t>295,7</w:t>
            </w:r>
          </w:p>
        </w:tc>
      </w:tr>
      <w:tr w:rsidR="00F650B7" w:rsidRPr="00F650B7" w:rsidTr="00FD1B86">
        <w:trPr>
          <w:trHeight w:val="21"/>
        </w:trPr>
        <w:tc>
          <w:tcPr>
            <w:tcW w:w="2472"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акцизы</w:t>
            </w:r>
          </w:p>
        </w:tc>
        <w:tc>
          <w:tcPr>
            <w:tcW w:w="1472" w:type="dxa"/>
            <w:shd w:val="clear" w:color="auto" w:fill="auto"/>
            <w:vAlign w:val="center"/>
          </w:tcPr>
          <w:p w:rsidR="00CA5837" w:rsidRPr="00F650B7" w:rsidRDefault="00CA5837" w:rsidP="006D7147">
            <w:pPr>
              <w:jc w:val="right"/>
              <w:rPr>
                <w:sz w:val="20"/>
                <w:szCs w:val="20"/>
              </w:rPr>
            </w:pPr>
            <w:r w:rsidRPr="00F650B7">
              <w:rPr>
                <w:sz w:val="20"/>
                <w:szCs w:val="20"/>
              </w:rPr>
              <w:t>14 926 912,2</w:t>
            </w:r>
          </w:p>
        </w:tc>
        <w:tc>
          <w:tcPr>
            <w:tcW w:w="1646" w:type="dxa"/>
            <w:shd w:val="clear" w:color="auto" w:fill="auto"/>
            <w:vAlign w:val="center"/>
          </w:tcPr>
          <w:p w:rsidR="00CA5837" w:rsidRPr="00F650B7" w:rsidRDefault="00CA5837" w:rsidP="00EA5380">
            <w:pPr>
              <w:jc w:val="right"/>
              <w:rPr>
                <w:sz w:val="20"/>
                <w:szCs w:val="20"/>
              </w:rPr>
            </w:pPr>
            <w:r w:rsidRPr="00F650B7">
              <w:rPr>
                <w:sz w:val="20"/>
                <w:szCs w:val="20"/>
              </w:rPr>
              <w:t>5,</w:t>
            </w:r>
            <w:r w:rsidR="00EA5380" w:rsidRPr="00F650B7">
              <w:rPr>
                <w:sz w:val="20"/>
                <w:szCs w:val="20"/>
              </w:rPr>
              <w:t>3</w:t>
            </w:r>
          </w:p>
        </w:tc>
        <w:tc>
          <w:tcPr>
            <w:tcW w:w="1418" w:type="dxa"/>
            <w:shd w:val="clear" w:color="auto" w:fill="auto"/>
            <w:vAlign w:val="center"/>
          </w:tcPr>
          <w:p w:rsidR="00CA5837" w:rsidRPr="00F650B7" w:rsidRDefault="00CA5837" w:rsidP="006D7147">
            <w:pPr>
              <w:jc w:val="right"/>
              <w:rPr>
                <w:sz w:val="20"/>
                <w:szCs w:val="20"/>
              </w:rPr>
            </w:pPr>
            <w:r w:rsidRPr="00F650B7">
              <w:rPr>
                <w:sz w:val="20"/>
                <w:szCs w:val="20"/>
              </w:rPr>
              <w:t>27 180 110,2</w:t>
            </w:r>
          </w:p>
        </w:tc>
        <w:tc>
          <w:tcPr>
            <w:tcW w:w="1559" w:type="dxa"/>
            <w:shd w:val="clear" w:color="auto" w:fill="auto"/>
            <w:vAlign w:val="center"/>
          </w:tcPr>
          <w:p w:rsidR="00CA5837" w:rsidRPr="00F650B7" w:rsidRDefault="00EA5380" w:rsidP="006D7147">
            <w:pPr>
              <w:jc w:val="right"/>
              <w:rPr>
                <w:sz w:val="20"/>
                <w:szCs w:val="20"/>
              </w:rPr>
            </w:pPr>
            <w:r w:rsidRPr="00F650B7">
              <w:rPr>
                <w:sz w:val="20"/>
                <w:szCs w:val="20"/>
              </w:rPr>
              <w:t>4,8</w:t>
            </w:r>
          </w:p>
        </w:tc>
        <w:tc>
          <w:tcPr>
            <w:tcW w:w="1701" w:type="dxa"/>
            <w:shd w:val="clear" w:color="auto" w:fill="auto"/>
            <w:vAlign w:val="center"/>
          </w:tcPr>
          <w:p w:rsidR="00CA5837" w:rsidRPr="00F650B7" w:rsidRDefault="00CA5837" w:rsidP="006D7147">
            <w:pPr>
              <w:jc w:val="right"/>
              <w:rPr>
                <w:sz w:val="20"/>
                <w:szCs w:val="20"/>
              </w:rPr>
            </w:pPr>
            <w:r w:rsidRPr="00F650B7">
              <w:rPr>
                <w:sz w:val="20"/>
                <w:szCs w:val="20"/>
              </w:rPr>
              <w:t>182,1</w:t>
            </w:r>
          </w:p>
        </w:tc>
      </w:tr>
      <w:tr w:rsidR="00F650B7" w:rsidRPr="00F650B7" w:rsidTr="00FD1B86">
        <w:trPr>
          <w:trHeight w:val="333"/>
        </w:trPr>
        <w:tc>
          <w:tcPr>
            <w:tcW w:w="2472" w:type="dxa"/>
          </w:tcPr>
          <w:p w:rsidR="00CA5837" w:rsidRPr="00F650B7" w:rsidRDefault="00CA5837" w:rsidP="006D7147">
            <w:pPr>
              <w:widowControl w:val="0"/>
              <w:autoSpaceDE w:val="0"/>
              <w:autoSpaceDN w:val="0"/>
              <w:rPr>
                <w:rFonts w:eastAsiaTheme="minorEastAsia"/>
                <w:sz w:val="20"/>
                <w:szCs w:val="20"/>
              </w:rPr>
            </w:pPr>
            <w:r w:rsidRPr="00F650B7">
              <w:rPr>
                <w:rFonts w:eastAsiaTheme="minorEastAsia"/>
                <w:sz w:val="20"/>
                <w:szCs w:val="20"/>
              </w:rPr>
              <w:t>налог на имущество организаций</w:t>
            </w:r>
          </w:p>
        </w:tc>
        <w:tc>
          <w:tcPr>
            <w:tcW w:w="1472" w:type="dxa"/>
            <w:shd w:val="clear" w:color="auto" w:fill="auto"/>
            <w:vAlign w:val="center"/>
          </w:tcPr>
          <w:p w:rsidR="00CA5837" w:rsidRPr="00F650B7" w:rsidRDefault="00CA5837" w:rsidP="006D7147">
            <w:pPr>
              <w:jc w:val="right"/>
              <w:rPr>
                <w:sz w:val="20"/>
                <w:szCs w:val="20"/>
              </w:rPr>
            </w:pPr>
            <w:r w:rsidRPr="00F650B7">
              <w:rPr>
                <w:sz w:val="20"/>
                <w:szCs w:val="20"/>
              </w:rPr>
              <w:t>29 360 298,6</w:t>
            </w:r>
          </w:p>
        </w:tc>
        <w:tc>
          <w:tcPr>
            <w:tcW w:w="1646" w:type="dxa"/>
            <w:shd w:val="clear" w:color="auto" w:fill="auto"/>
            <w:vAlign w:val="center"/>
          </w:tcPr>
          <w:p w:rsidR="00CA5837" w:rsidRPr="00F650B7" w:rsidRDefault="00EA5380" w:rsidP="006D7147">
            <w:pPr>
              <w:jc w:val="right"/>
              <w:rPr>
                <w:sz w:val="20"/>
                <w:szCs w:val="20"/>
              </w:rPr>
            </w:pPr>
            <w:r w:rsidRPr="00F650B7">
              <w:rPr>
                <w:sz w:val="20"/>
                <w:szCs w:val="20"/>
              </w:rPr>
              <w:t>10,4</w:t>
            </w:r>
          </w:p>
        </w:tc>
        <w:tc>
          <w:tcPr>
            <w:tcW w:w="1418" w:type="dxa"/>
            <w:shd w:val="clear" w:color="auto" w:fill="auto"/>
            <w:vAlign w:val="center"/>
          </w:tcPr>
          <w:p w:rsidR="00CA5837" w:rsidRPr="00F650B7" w:rsidRDefault="00CA5837" w:rsidP="006D7147">
            <w:pPr>
              <w:jc w:val="right"/>
              <w:rPr>
                <w:sz w:val="20"/>
                <w:szCs w:val="20"/>
              </w:rPr>
            </w:pPr>
            <w:r w:rsidRPr="00F650B7">
              <w:rPr>
                <w:sz w:val="20"/>
                <w:szCs w:val="20"/>
              </w:rPr>
              <w:t>54 117 522,5</w:t>
            </w:r>
          </w:p>
        </w:tc>
        <w:tc>
          <w:tcPr>
            <w:tcW w:w="1559" w:type="dxa"/>
            <w:shd w:val="clear" w:color="auto" w:fill="auto"/>
            <w:vAlign w:val="center"/>
          </w:tcPr>
          <w:p w:rsidR="00CA5837" w:rsidRPr="00F650B7" w:rsidRDefault="00CA5837" w:rsidP="00EA5380">
            <w:pPr>
              <w:jc w:val="right"/>
              <w:rPr>
                <w:sz w:val="20"/>
                <w:szCs w:val="20"/>
              </w:rPr>
            </w:pPr>
            <w:r w:rsidRPr="00F650B7">
              <w:rPr>
                <w:sz w:val="20"/>
                <w:szCs w:val="20"/>
              </w:rPr>
              <w:t>9</w:t>
            </w:r>
            <w:r w:rsidR="00EA5380" w:rsidRPr="00F650B7">
              <w:rPr>
                <w:sz w:val="20"/>
                <w:szCs w:val="20"/>
              </w:rPr>
              <w:t>,6</w:t>
            </w:r>
          </w:p>
        </w:tc>
        <w:tc>
          <w:tcPr>
            <w:tcW w:w="1701" w:type="dxa"/>
            <w:shd w:val="clear" w:color="auto" w:fill="auto"/>
            <w:vAlign w:val="center"/>
          </w:tcPr>
          <w:p w:rsidR="00CA5837" w:rsidRPr="00F650B7" w:rsidRDefault="00CA5837" w:rsidP="006D7147">
            <w:pPr>
              <w:jc w:val="right"/>
              <w:rPr>
                <w:sz w:val="20"/>
                <w:szCs w:val="20"/>
              </w:rPr>
            </w:pPr>
            <w:r w:rsidRPr="00F650B7">
              <w:rPr>
                <w:sz w:val="20"/>
                <w:szCs w:val="20"/>
              </w:rPr>
              <w:t>184,3</w:t>
            </w:r>
          </w:p>
        </w:tc>
      </w:tr>
      <w:tr w:rsidR="00CA5837" w:rsidRPr="00F650B7" w:rsidTr="00FD1B86">
        <w:trPr>
          <w:trHeight w:val="20"/>
        </w:trPr>
        <w:tc>
          <w:tcPr>
            <w:tcW w:w="2472" w:type="dxa"/>
          </w:tcPr>
          <w:p w:rsidR="00CA5837" w:rsidRPr="00F650B7" w:rsidRDefault="00CA5837" w:rsidP="006D7147">
            <w:pPr>
              <w:pStyle w:val="a9"/>
              <w:widowControl w:val="0"/>
              <w:numPr>
                <w:ilvl w:val="1"/>
                <w:numId w:val="1"/>
              </w:numPr>
              <w:autoSpaceDE w:val="0"/>
              <w:autoSpaceDN w:val="0"/>
              <w:rPr>
                <w:rFonts w:eastAsiaTheme="minorEastAsia"/>
                <w:sz w:val="20"/>
                <w:szCs w:val="20"/>
              </w:rPr>
            </w:pPr>
            <w:r w:rsidRPr="00F650B7">
              <w:rPr>
                <w:rFonts w:eastAsiaTheme="minorEastAsia"/>
                <w:sz w:val="20"/>
                <w:szCs w:val="20"/>
              </w:rPr>
              <w:t>Неналоговые доходы</w:t>
            </w:r>
          </w:p>
        </w:tc>
        <w:tc>
          <w:tcPr>
            <w:tcW w:w="1472" w:type="dxa"/>
            <w:shd w:val="clear" w:color="auto" w:fill="auto"/>
            <w:vAlign w:val="center"/>
          </w:tcPr>
          <w:p w:rsidR="00CA5837" w:rsidRPr="00F650B7" w:rsidRDefault="00CA5837" w:rsidP="006D7147">
            <w:pPr>
              <w:jc w:val="right"/>
              <w:rPr>
                <w:sz w:val="20"/>
                <w:szCs w:val="20"/>
              </w:rPr>
            </w:pPr>
            <w:r w:rsidRPr="00F650B7">
              <w:rPr>
                <w:sz w:val="20"/>
                <w:szCs w:val="20"/>
              </w:rPr>
              <w:t>16 359 758,5</w:t>
            </w:r>
          </w:p>
        </w:tc>
        <w:tc>
          <w:tcPr>
            <w:tcW w:w="1646" w:type="dxa"/>
            <w:shd w:val="clear" w:color="auto" w:fill="auto"/>
            <w:vAlign w:val="center"/>
          </w:tcPr>
          <w:p w:rsidR="00CA5837" w:rsidRPr="00F650B7" w:rsidRDefault="00CA5837" w:rsidP="006D7147">
            <w:pPr>
              <w:jc w:val="right"/>
              <w:rPr>
                <w:sz w:val="20"/>
                <w:szCs w:val="20"/>
              </w:rPr>
            </w:pPr>
            <w:r w:rsidRPr="00F650B7">
              <w:rPr>
                <w:sz w:val="20"/>
                <w:szCs w:val="20"/>
              </w:rPr>
              <w:t>5,8</w:t>
            </w:r>
          </w:p>
        </w:tc>
        <w:tc>
          <w:tcPr>
            <w:tcW w:w="1418" w:type="dxa"/>
            <w:shd w:val="clear" w:color="auto" w:fill="auto"/>
            <w:vAlign w:val="center"/>
          </w:tcPr>
          <w:p w:rsidR="00CA5837" w:rsidRPr="00F650B7" w:rsidRDefault="00CA5837" w:rsidP="006D7147">
            <w:pPr>
              <w:jc w:val="right"/>
              <w:rPr>
                <w:sz w:val="20"/>
                <w:szCs w:val="20"/>
              </w:rPr>
            </w:pPr>
            <w:r w:rsidRPr="00F650B7">
              <w:rPr>
                <w:sz w:val="20"/>
                <w:szCs w:val="20"/>
              </w:rPr>
              <w:t>16 013 919,9</w:t>
            </w:r>
          </w:p>
        </w:tc>
        <w:tc>
          <w:tcPr>
            <w:tcW w:w="1559" w:type="dxa"/>
            <w:shd w:val="clear" w:color="auto" w:fill="auto"/>
            <w:vAlign w:val="center"/>
          </w:tcPr>
          <w:p w:rsidR="00CA5837" w:rsidRPr="00F650B7" w:rsidRDefault="00CA5837" w:rsidP="006D7147">
            <w:pPr>
              <w:jc w:val="right"/>
              <w:rPr>
                <w:sz w:val="20"/>
                <w:szCs w:val="20"/>
              </w:rPr>
            </w:pPr>
            <w:r w:rsidRPr="00F650B7">
              <w:rPr>
                <w:sz w:val="20"/>
                <w:szCs w:val="20"/>
              </w:rPr>
              <w:t>2,8</w:t>
            </w:r>
          </w:p>
        </w:tc>
        <w:tc>
          <w:tcPr>
            <w:tcW w:w="1701" w:type="dxa"/>
            <w:shd w:val="clear" w:color="auto" w:fill="auto"/>
            <w:vAlign w:val="center"/>
          </w:tcPr>
          <w:p w:rsidR="00CA5837" w:rsidRPr="00F650B7" w:rsidRDefault="00CA5837" w:rsidP="006D7147">
            <w:pPr>
              <w:jc w:val="right"/>
              <w:rPr>
                <w:sz w:val="20"/>
                <w:szCs w:val="20"/>
              </w:rPr>
            </w:pPr>
            <w:r w:rsidRPr="00F650B7">
              <w:rPr>
                <w:sz w:val="20"/>
                <w:szCs w:val="20"/>
              </w:rPr>
              <w:t>97,9</w:t>
            </w:r>
          </w:p>
        </w:tc>
      </w:tr>
    </w:tbl>
    <w:p w:rsidR="00CA5837" w:rsidRPr="00F650B7" w:rsidRDefault="00CA5837" w:rsidP="00CA5837">
      <w:pPr>
        <w:widowControl w:val="0"/>
        <w:autoSpaceDE w:val="0"/>
        <w:autoSpaceDN w:val="0"/>
        <w:ind w:firstLine="709"/>
        <w:jc w:val="both"/>
        <w:rPr>
          <w:rFonts w:eastAsiaTheme="minorEastAsia"/>
          <w:sz w:val="28"/>
          <w:szCs w:val="28"/>
          <w:highlight w:val="yellow"/>
        </w:rPr>
      </w:pPr>
    </w:p>
    <w:p w:rsidR="004D4A39" w:rsidRPr="00F650B7" w:rsidRDefault="004D4A39" w:rsidP="00CA5837">
      <w:pPr>
        <w:widowControl w:val="0"/>
        <w:autoSpaceDE w:val="0"/>
        <w:autoSpaceDN w:val="0"/>
        <w:ind w:firstLine="709"/>
        <w:jc w:val="both"/>
        <w:rPr>
          <w:rFonts w:eastAsiaTheme="minorEastAsia"/>
          <w:sz w:val="28"/>
          <w:szCs w:val="28"/>
        </w:rPr>
      </w:pP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lastRenderedPageBreak/>
        <w:t>В структуре налоговых и неналоговых доходов консолидированного бюджета Ленинградской области основной удельный вес в долгосрочной перспективе будут занимать налоговые доходы, их удельный вес к 2034 году составит 97,2%.</w:t>
      </w: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 xml:space="preserve">Основными налоговыми доходными источниками консолидированного бюджета Ленинградской области по-прежнему останутся налог на прибыль организаций, налог на доходы физических лиц, налог на имущество организаций, акцизы. Удельный вес перечисленных налогов составит к 2034 году 91,5% от общего объема налоговых доходов консолидированного бюджета Ленинградской области. </w:t>
      </w: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Рост поступлений по налоговым доходам за период 2023-2034 годов с учетом утвержденных макроэкономических показателей по прогнозу социально-экономического развития Ленинградской области составит 205,5%.</w:t>
      </w: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Достижение прогнозируемых показателей темпа роста фонда заработной платы может позволить к 2034 году повысить значимость налога на доходы физических лиц в структуре налоговых и неналоговых доходов консолидированного бюджета Ленинградской области.</w:t>
      </w: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Отмечается существенный рост прогнозируемых поступлений по налогу на имущество организаций к 2034 году, что является результатом проводимой политики по поддержке и развитию инвестиционной деятельности в регионе.</w:t>
      </w: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В структуре неналоговых доходов консолидированного бюджета Ленинградской области основной удельный вес занимают доходы от использования имущества, находящегося в государственной и муниципальной собственности, доходы от продажи указанного имущества, платежи при пользовании природными ресурсами, а также доходы от оказания платных услуг и компенсации затрат государства.</w:t>
      </w:r>
    </w:p>
    <w:p w:rsidR="00CA5837" w:rsidRPr="00F650B7" w:rsidRDefault="00CA5837" w:rsidP="00CA5837">
      <w:pPr>
        <w:widowControl w:val="0"/>
        <w:autoSpaceDE w:val="0"/>
        <w:autoSpaceDN w:val="0"/>
        <w:ind w:firstLine="709"/>
        <w:jc w:val="both"/>
        <w:rPr>
          <w:rFonts w:eastAsiaTheme="minorEastAsia"/>
          <w:sz w:val="28"/>
          <w:szCs w:val="28"/>
        </w:rPr>
      </w:pPr>
      <w:r w:rsidRPr="00F650B7">
        <w:rPr>
          <w:rFonts w:eastAsiaTheme="minorEastAsia"/>
          <w:sz w:val="28"/>
          <w:szCs w:val="28"/>
        </w:rPr>
        <w:t>В долгосрочном периоде ожидается отрицательная динамика поступления неналоговых доходов (97,9%) в основном за счет снижения доходов от размещения временно свободных средств областного бюджета Ленинградской области.</w:t>
      </w:r>
    </w:p>
    <w:p w:rsidR="004C2BF6" w:rsidRPr="00F650B7" w:rsidRDefault="00D70A87" w:rsidP="00876C0C">
      <w:pPr>
        <w:widowControl w:val="0"/>
        <w:autoSpaceDE w:val="0"/>
        <w:autoSpaceDN w:val="0"/>
        <w:ind w:firstLine="709"/>
        <w:jc w:val="both"/>
        <w:rPr>
          <w:rFonts w:eastAsiaTheme="minorEastAsia"/>
          <w:sz w:val="28"/>
          <w:szCs w:val="28"/>
        </w:rPr>
      </w:pPr>
      <w:r w:rsidRPr="00F650B7">
        <w:rPr>
          <w:rFonts w:eastAsiaTheme="minorEastAsia"/>
          <w:sz w:val="28"/>
          <w:szCs w:val="28"/>
        </w:rPr>
        <w:t>Рост расходов консолидированного бюджета Ленинградской области за период 20</w:t>
      </w:r>
      <w:r w:rsidR="00BB56AE" w:rsidRPr="00F650B7">
        <w:rPr>
          <w:rFonts w:eastAsiaTheme="minorEastAsia"/>
          <w:sz w:val="28"/>
          <w:szCs w:val="28"/>
        </w:rPr>
        <w:t>23-2034</w:t>
      </w:r>
      <w:r w:rsidRPr="00F650B7">
        <w:rPr>
          <w:rFonts w:eastAsiaTheme="minorEastAsia"/>
          <w:sz w:val="28"/>
          <w:szCs w:val="28"/>
        </w:rPr>
        <w:t xml:space="preserve"> годов с учетом макроэкономических показателей прогноза социально-экономического развития Ленинградской области на долгосрочный период составит </w:t>
      </w:r>
      <w:r w:rsidR="00EA5380" w:rsidRPr="00F650B7">
        <w:rPr>
          <w:rFonts w:eastAsiaTheme="minorEastAsia"/>
          <w:sz w:val="28"/>
          <w:szCs w:val="28"/>
        </w:rPr>
        <w:t>220,9</w:t>
      </w:r>
      <w:r w:rsidRPr="00F650B7">
        <w:rPr>
          <w:rFonts w:eastAsiaTheme="minorEastAsia"/>
          <w:sz w:val="28"/>
          <w:szCs w:val="28"/>
        </w:rPr>
        <w:t xml:space="preserve">%. </w:t>
      </w:r>
    </w:p>
    <w:p w:rsidR="00D70A87" w:rsidRPr="00F650B7" w:rsidRDefault="00D70A87" w:rsidP="00876C0C">
      <w:pPr>
        <w:widowControl w:val="0"/>
        <w:autoSpaceDE w:val="0"/>
        <w:autoSpaceDN w:val="0"/>
        <w:ind w:firstLine="709"/>
        <w:jc w:val="both"/>
        <w:rPr>
          <w:rFonts w:eastAsiaTheme="minorEastAsia"/>
          <w:sz w:val="28"/>
          <w:szCs w:val="28"/>
        </w:rPr>
      </w:pPr>
      <w:r w:rsidRPr="00F650B7">
        <w:rPr>
          <w:rFonts w:eastAsiaTheme="minorEastAsia"/>
          <w:sz w:val="28"/>
          <w:szCs w:val="28"/>
        </w:rPr>
        <w:t xml:space="preserve">Динамика расходов консолидированного бюджета Ленинградской области будет повторять динамику объема расходов областного бюджета Ленинградской области, доля которого в расходах консолидированного бюджета Ленинградской области будет держаться </w:t>
      </w:r>
      <w:r w:rsidR="003E7A79" w:rsidRPr="00F650B7">
        <w:rPr>
          <w:rFonts w:eastAsiaTheme="minorEastAsia"/>
          <w:sz w:val="28"/>
          <w:szCs w:val="28"/>
        </w:rPr>
        <w:t>на уровне</w:t>
      </w:r>
      <w:r w:rsidRPr="00F650B7">
        <w:rPr>
          <w:rFonts w:eastAsiaTheme="minorEastAsia"/>
          <w:sz w:val="28"/>
          <w:szCs w:val="28"/>
        </w:rPr>
        <w:t xml:space="preserve"> </w:t>
      </w:r>
      <w:r w:rsidR="00CF295B" w:rsidRPr="00F650B7">
        <w:rPr>
          <w:rFonts w:eastAsiaTheme="minorEastAsia"/>
          <w:sz w:val="28"/>
          <w:szCs w:val="28"/>
        </w:rPr>
        <w:t>79-80</w:t>
      </w:r>
      <w:r w:rsidRPr="00F650B7">
        <w:rPr>
          <w:rFonts w:eastAsiaTheme="minorEastAsia"/>
          <w:sz w:val="28"/>
          <w:szCs w:val="28"/>
        </w:rPr>
        <w:t>%</w:t>
      </w:r>
      <w:r w:rsidR="00CF295B" w:rsidRPr="00F650B7">
        <w:rPr>
          <w:rFonts w:eastAsiaTheme="minorEastAsia"/>
          <w:sz w:val="28"/>
          <w:szCs w:val="28"/>
        </w:rPr>
        <w:t>.</w:t>
      </w:r>
    </w:p>
    <w:p w:rsidR="00BB56AE" w:rsidRPr="00F650B7" w:rsidRDefault="00D70A87" w:rsidP="00876C0C">
      <w:pPr>
        <w:widowControl w:val="0"/>
        <w:autoSpaceDE w:val="0"/>
        <w:autoSpaceDN w:val="0"/>
        <w:ind w:firstLine="709"/>
        <w:jc w:val="both"/>
        <w:rPr>
          <w:sz w:val="28"/>
          <w:szCs w:val="28"/>
        </w:rPr>
      </w:pPr>
      <w:proofErr w:type="gramStart"/>
      <w:r w:rsidRPr="00F650B7">
        <w:rPr>
          <w:rFonts w:eastAsiaTheme="minorEastAsia"/>
          <w:sz w:val="28"/>
          <w:szCs w:val="28"/>
        </w:rPr>
        <w:t>Начиная с 202</w:t>
      </w:r>
      <w:r w:rsidR="0084253B" w:rsidRPr="00F650B7">
        <w:rPr>
          <w:rFonts w:eastAsiaTheme="minorEastAsia"/>
          <w:sz w:val="28"/>
          <w:szCs w:val="28"/>
        </w:rPr>
        <w:t>6</w:t>
      </w:r>
      <w:r w:rsidRPr="00F650B7">
        <w:rPr>
          <w:rFonts w:eastAsiaTheme="minorEastAsia"/>
          <w:sz w:val="28"/>
          <w:szCs w:val="28"/>
        </w:rPr>
        <w:t xml:space="preserve"> года</w:t>
      </w:r>
      <w:r w:rsidRPr="00F650B7">
        <w:rPr>
          <w:sz w:val="28"/>
          <w:szCs w:val="28"/>
        </w:rPr>
        <w:t xml:space="preserve"> исполнение консолидированного бюджета Ленинградской области планируется с дефицитом</w:t>
      </w:r>
      <w:proofErr w:type="gramEnd"/>
      <w:r w:rsidRPr="00F650B7">
        <w:rPr>
          <w:sz w:val="28"/>
          <w:szCs w:val="28"/>
        </w:rPr>
        <w:t xml:space="preserve"> в размере </w:t>
      </w:r>
      <w:r w:rsidR="005F7E0E" w:rsidRPr="00F650B7">
        <w:rPr>
          <w:sz w:val="28"/>
          <w:szCs w:val="28"/>
        </w:rPr>
        <w:t xml:space="preserve">от </w:t>
      </w:r>
      <w:r w:rsidR="00ED5E57" w:rsidRPr="00F650B7">
        <w:rPr>
          <w:sz w:val="28"/>
          <w:szCs w:val="28"/>
        </w:rPr>
        <w:t>11,</w:t>
      </w:r>
      <w:r w:rsidR="00285B3F" w:rsidRPr="00F650B7">
        <w:rPr>
          <w:sz w:val="28"/>
          <w:szCs w:val="28"/>
        </w:rPr>
        <w:t>1</w:t>
      </w:r>
      <w:r w:rsidRPr="00F650B7">
        <w:rPr>
          <w:sz w:val="28"/>
          <w:szCs w:val="28"/>
        </w:rPr>
        <w:t xml:space="preserve">% общего объема доходов консолидированного бюджета Ленинградской области без учета утвержденного объема безвозмездных поступлений до </w:t>
      </w:r>
      <w:r w:rsidR="00ED5E57" w:rsidRPr="00F650B7">
        <w:rPr>
          <w:sz w:val="28"/>
          <w:szCs w:val="28"/>
        </w:rPr>
        <w:t>0,</w:t>
      </w:r>
      <w:r w:rsidR="00EA5380" w:rsidRPr="00F650B7">
        <w:rPr>
          <w:sz w:val="28"/>
          <w:szCs w:val="28"/>
        </w:rPr>
        <w:t>6</w:t>
      </w:r>
      <w:r w:rsidRPr="00F650B7">
        <w:rPr>
          <w:sz w:val="28"/>
          <w:szCs w:val="28"/>
        </w:rPr>
        <w:t>% к 20</w:t>
      </w:r>
      <w:r w:rsidR="00BB56AE" w:rsidRPr="00F650B7">
        <w:rPr>
          <w:sz w:val="28"/>
          <w:szCs w:val="28"/>
        </w:rPr>
        <w:t>34</w:t>
      </w:r>
      <w:r w:rsidRPr="00F650B7">
        <w:rPr>
          <w:sz w:val="28"/>
          <w:szCs w:val="28"/>
        </w:rPr>
        <w:t xml:space="preserve"> году. </w:t>
      </w: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Структура </w:t>
      </w:r>
      <w:proofErr w:type="gramStart"/>
      <w:r w:rsidRPr="00F650B7">
        <w:rPr>
          <w:rFonts w:ascii="Times New Roman" w:hAnsi="Times New Roman" w:cs="Times New Roman"/>
          <w:sz w:val="28"/>
          <w:szCs w:val="28"/>
        </w:rPr>
        <w:t>источников финансирования дефицита консолидированного бюджета Ленинградской области</w:t>
      </w:r>
      <w:proofErr w:type="gramEnd"/>
      <w:r w:rsidRPr="00F650B7">
        <w:rPr>
          <w:rFonts w:ascii="Times New Roman" w:hAnsi="Times New Roman" w:cs="Times New Roman"/>
          <w:sz w:val="28"/>
          <w:szCs w:val="28"/>
        </w:rPr>
        <w:t xml:space="preserve"> будет повторять структуру источников финансирования дефицита областного бюджета Ленинградской области.</w:t>
      </w:r>
    </w:p>
    <w:p w:rsidR="001B20A4" w:rsidRPr="00F650B7" w:rsidRDefault="001B20A4" w:rsidP="00D16555">
      <w:pPr>
        <w:pStyle w:val="ConsPlusTitle"/>
        <w:ind w:firstLine="709"/>
        <w:jc w:val="center"/>
        <w:outlineLvl w:val="1"/>
        <w:rPr>
          <w:rFonts w:ascii="Times New Roman" w:hAnsi="Times New Roman" w:cs="Times New Roman"/>
          <w:sz w:val="28"/>
          <w:szCs w:val="28"/>
          <w:highlight w:val="yellow"/>
        </w:rPr>
      </w:pPr>
      <w:bookmarkStart w:id="2" w:name="P416"/>
      <w:bookmarkEnd w:id="2"/>
    </w:p>
    <w:p w:rsidR="004D4A39" w:rsidRPr="00F650B7" w:rsidRDefault="004D4A39" w:rsidP="00D16555">
      <w:pPr>
        <w:pStyle w:val="ConsPlusTitle"/>
        <w:jc w:val="center"/>
        <w:outlineLvl w:val="1"/>
        <w:rPr>
          <w:rFonts w:ascii="Times New Roman" w:hAnsi="Times New Roman" w:cs="Times New Roman"/>
          <w:sz w:val="28"/>
          <w:szCs w:val="28"/>
        </w:rPr>
      </w:pPr>
    </w:p>
    <w:p w:rsidR="00D70A87" w:rsidRPr="00F650B7" w:rsidRDefault="00D70A87" w:rsidP="00D16555">
      <w:pPr>
        <w:pStyle w:val="ConsPlusTitle"/>
        <w:jc w:val="center"/>
        <w:outlineLvl w:val="1"/>
        <w:rPr>
          <w:rFonts w:ascii="Times New Roman" w:hAnsi="Times New Roman" w:cs="Times New Roman"/>
          <w:sz w:val="28"/>
          <w:szCs w:val="28"/>
        </w:rPr>
      </w:pPr>
      <w:r w:rsidRPr="00F650B7">
        <w:rPr>
          <w:rFonts w:ascii="Times New Roman" w:hAnsi="Times New Roman" w:cs="Times New Roman"/>
          <w:sz w:val="28"/>
          <w:szCs w:val="28"/>
        </w:rPr>
        <w:lastRenderedPageBreak/>
        <w:t xml:space="preserve">3. Прогноз основных характеристик </w:t>
      </w:r>
      <w:proofErr w:type="gramStart"/>
      <w:r w:rsidRPr="00F650B7">
        <w:rPr>
          <w:rFonts w:ascii="Times New Roman" w:hAnsi="Times New Roman" w:cs="Times New Roman"/>
          <w:sz w:val="28"/>
          <w:szCs w:val="28"/>
        </w:rPr>
        <w:t>консолидированного</w:t>
      </w:r>
      <w:proofErr w:type="gramEnd"/>
    </w:p>
    <w:p w:rsidR="00D70A87" w:rsidRPr="00F650B7" w:rsidRDefault="00D70A87" w:rsidP="00D16555">
      <w:pPr>
        <w:pStyle w:val="ConsPlusTitle"/>
        <w:jc w:val="center"/>
        <w:rPr>
          <w:rFonts w:ascii="Times New Roman" w:hAnsi="Times New Roman" w:cs="Times New Roman"/>
          <w:sz w:val="28"/>
          <w:szCs w:val="28"/>
        </w:rPr>
      </w:pPr>
      <w:r w:rsidRPr="00F650B7">
        <w:rPr>
          <w:rFonts w:ascii="Times New Roman" w:hAnsi="Times New Roman" w:cs="Times New Roman"/>
          <w:sz w:val="28"/>
          <w:szCs w:val="28"/>
        </w:rPr>
        <w:t xml:space="preserve">и </w:t>
      </w:r>
      <w:proofErr w:type="gramStart"/>
      <w:r w:rsidRPr="00F650B7">
        <w:rPr>
          <w:rFonts w:ascii="Times New Roman" w:hAnsi="Times New Roman" w:cs="Times New Roman"/>
          <w:sz w:val="28"/>
          <w:szCs w:val="28"/>
        </w:rPr>
        <w:t>областного</w:t>
      </w:r>
      <w:proofErr w:type="gramEnd"/>
      <w:r w:rsidRPr="00F650B7">
        <w:rPr>
          <w:rFonts w:ascii="Times New Roman" w:hAnsi="Times New Roman" w:cs="Times New Roman"/>
          <w:sz w:val="28"/>
          <w:szCs w:val="28"/>
        </w:rPr>
        <w:t xml:space="preserve"> бюджетов Ленинградской области</w:t>
      </w:r>
    </w:p>
    <w:p w:rsidR="00D70A87" w:rsidRPr="00F650B7" w:rsidRDefault="00D70A87" w:rsidP="00D16555">
      <w:pPr>
        <w:pStyle w:val="ConsPlusTitle"/>
        <w:jc w:val="center"/>
        <w:rPr>
          <w:rFonts w:ascii="Times New Roman" w:hAnsi="Times New Roman" w:cs="Times New Roman"/>
          <w:sz w:val="28"/>
          <w:szCs w:val="28"/>
        </w:rPr>
      </w:pPr>
      <w:r w:rsidRPr="00F650B7">
        <w:rPr>
          <w:rFonts w:ascii="Times New Roman" w:hAnsi="Times New Roman" w:cs="Times New Roman"/>
          <w:sz w:val="28"/>
          <w:szCs w:val="28"/>
        </w:rPr>
        <w:t>на период до 20</w:t>
      </w:r>
      <w:r w:rsidR="00A83CD3"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года</w:t>
      </w:r>
    </w:p>
    <w:p w:rsidR="00D70A87" w:rsidRPr="00F650B7" w:rsidRDefault="00D70A87" w:rsidP="00D16555">
      <w:pPr>
        <w:pStyle w:val="ConsPlusNormal"/>
        <w:rPr>
          <w:rFonts w:ascii="Times New Roman" w:hAnsi="Times New Roman" w:cs="Times New Roman"/>
          <w:sz w:val="28"/>
          <w:szCs w:val="28"/>
          <w:highlight w:val="yellow"/>
        </w:rPr>
      </w:pP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Прогноз основных характеристик областного бюджета Ленинградской области на период до 20</w:t>
      </w:r>
      <w:r w:rsidR="00A83CD3"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года представлен в </w:t>
      </w:r>
      <w:hyperlink w:anchor="P1493">
        <w:r w:rsidRPr="00F650B7">
          <w:rPr>
            <w:rFonts w:ascii="Times New Roman" w:hAnsi="Times New Roman" w:cs="Times New Roman"/>
            <w:sz w:val="28"/>
            <w:szCs w:val="28"/>
          </w:rPr>
          <w:t>приложении 3</w:t>
        </w:r>
      </w:hyperlink>
      <w:r w:rsidRPr="00F650B7">
        <w:rPr>
          <w:rFonts w:ascii="Times New Roman" w:hAnsi="Times New Roman" w:cs="Times New Roman"/>
          <w:sz w:val="28"/>
          <w:szCs w:val="28"/>
        </w:rPr>
        <w:t xml:space="preserve"> к Бюджетному прогнозу.</w:t>
      </w: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В соответствии с Бюджетным прогнозом ожидается увеличение доходов областного бюджета Ленинградской области к 20</w:t>
      </w:r>
      <w:r w:rsidR="00A83CD3"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году по сравнению с 20</w:t>
      </w:r>
      <w:r w:rsidR="00A83CD3" w:rsidRPr="00F650B7">
        <w:rPr>
          <w:rFonts w:ascii="Times New Roman" w:hAnsi="Times New Roman" w:cs="Times New Roman"/>
          <w:sz w:val="28"/>
          <w:szCs w:val="28"/>
        </w:rPr>
        <w:t>23</w:t>
      </w:r>
      <w:r w:rsidRPr="00F650B7">
        <w:rPr>
          <w:rFonts w:ascii="Times New Roman" w:hAnsi="Times New Roman" w:cs="Times New Roman"/>
          <w:sz w:val="28"/>
          <w:szCs w:val="28"/>
        </w:rPr>
        <w:t xml:space="preserve"> годом </w:t>
      </w:r>
      <w:r w:rsidR="00933287" w:rsidRPr="00F650B7">
        <w:rPr>
          <w:rFonts w:ascii="Times New Roman" w:hAnsi="Times New Roman" w:cs="Times New Roman"/>
          <w:sz w:val="28"/>
          <w:szCs w:val="28"/>
        </w:rPr>
        <w:t>в 1,</w:t>
      </w:r>
      <w:r w:rsidR="00CE1AB6" w:rsidRPr="00F650B7">
        <w:rPr>
          <w:rFonts w:ascii="Times New Roman" w:hAnsi="Times New Roman" w:cs="Times New Roman"/>
          <w:sz w:val="28"/>
          <w:szCs w:val="28"/>
        </w:rPr>
        <w:t>8</w:t>
      </w:r>
      <w:r w:rsidR="00933287" w:rsidRPr="00F650B7">
        <w:rPr>
          <w:rFonts w:ascii="Times New Roman" w:hAnsi="Times New Roman" w:cs="Times New Roman"/>
          <w:sz w:val="28"/>
          <w:szCs w:val="28"/>
        </w:rPr>
        <w:t xml:space="preserve"> раза.</w:t>
      </w:r>
    </w:p>
    <w:p w:rsidR="00CA5837" w:rsidRPr="00F650B7" w:rsidRDefault="00CA5837" w:rsidP="00CA5837">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На протяжении всего прогнозируемого периода наблюдается постепенное снижение удельного веса доходов в объеме валового регионального продукта (далее – ВРП) – с 14,4% в 2023 году до 10,5% в 2024 году.</w:t>
      </w:r>
    </w:p>
    <w:p w:rsidR="00D70A87" w:rsidRPr="00F650B7" w:rsidRDefault="00D70A87" w:rsidP="00D16555">
      <w:pPr>
        <w:pStyle w:val="ConsPlusNormal"/>
        <w:ind w:firstLine="709"/>
        <w:jc w:val="both"/>
        <w:rPr>
          <w:rFonts w:ascii="Times New Roman" w:hAnsi="Times New Roman" w:cs="Times New Roman"/>
          <w:sz w:val="28"/>
          <w:szCs w:val="28"/>
          <w:highlight w:val="yellow"/>
        </w:rPr>
      </w:pPr>
      <w:proofErr w:type="gramStart"/>
      <w:r w:rsidRPr="00F650B7">
        <w:rPr>
          <w:rFonts w:ascii="Times New Roman" w:hAnsi="Times New Roman" w:cs="Times New Roman"/>
          <w:sz w:val="28"/>
          <w:szCs w:val="28"/>
        </w:rPr>
        <w:t>Расходы областного бюджета Ленинградской области увеличатся к 20</w:t>
      </w:r>
      <w:r w:rsidR="00A83CD3"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году </w:t>
      </w:r>
      <w:r w:rsidR="00933287" w:rsidRPr="00F650B7">
        <w:rPr>
          <w:rFonts w:ascii="Times New Roman" w:hAnsi="Times New Roman" w:cs="Times New Roman"/>
          <w:sz w:val="28"/>
          <w:szCs w:val="28"/>
        </w:rPr>
        <w:t>в</w:t>
      </w:r>
      <w:r w:rsidRPr="00F650B7">
        <w:rPr>
          <w:rFonts w:ascii="Times New Roman" w:hAnsi="Times New Roman" w:cs="Times New Roman"/>
          <w:sz w:val="28"/>
          <w:szCs w:val="28"/>
        </w:rPr>
        <w:t xml:space="preserve"> </w:t>
      </w:r>
      <w:r w:rsidR="00055865" w:rsidRPr="00F650B7">
        <w:rPr>
          <w:rFonts w:ascii="Times New Roman" w:hAnsi="Times New Roman" w:cs="Times New Roman"/>
          <w:sz w:val="28"/>
          <w:szCs w:val="28"/>
        </w:rPr>
        <w:t xml:space="preserve">2,1 </w:t>
      </w:r>
      <w:r w:rsidR="00933287" w:rsidRPr="00F650B7">
        <w:rPr>
          <w:rFonts w:ascii="Times New Roman" w:hAnsi="Times New Roman" w:cs="Times New Roman"/>
          <w:sz w:val="28"/>
          <w:szCs w:val="28"/>
        </w:rPr>
        <w:t>раза</w:t>
      </w:r>
      <w:r w:rsidRPr="00F650B7">
        <w:rPr>
          <w:rFonts w:ascii="Times New Roman" w:hAnsi="Times New Roman" w:cs="Times New Roman"/>
          <w:sz w:val="28"/>
          <w:szCs w:val="28"/>
        </w:rPr>
        <w:t xml:space="preserve"> по сравнению с 20</w:t>
      </w:r>
      <w:r w:rsidR="00A83CD3" w:rsidRPr="00F650B7">
        <w:rPr>
          <w:rFonts w:ascii="Times New Roman" w:hAnsi="Times New Roman" w:cs="Times New Roman"/>
          <w:sz w:val="28"/>
          <w:szCs w:val="28"/>
        </w:rPr>
        <w:t>23</w:t>
      </w:r>
      <w:r w:rsidRPr="00F650B7">
        <w:rPr>
          <w:rFonts w:ascii="Times New Roman" w:hAnsi="Times New Roman" w:cs="Times New Roman"/>
          <w:sz w:val="28"/>
          <w:szCs w:val="28"/>
        </w:rPr>
        <w:t xml:space="preserve"> годом, </w:t>
      </w:r>
      <w:r w:rsidR="00C016D8" w:rsidRPr="00F650B7">
        <w:rPr>
          <w:rFonts w:ascii="Times New Roman" w:hAnsi="Times New Roman" w:cs="Times New Roman"/>
          <w:sz w:val="28"/>
          <w:szCs w:val="28"/>
        </w:rPr>
        <w:t xml:space="preserve">их </w:t>
      </w:r>
      <w:r w:rsidRPr="00F650B7">
        <w:rPr>
          <w:rFonts w:ascii="Times New Roman" w:hAnsi="Times New Roman" w:cs="Times New Roman"/>
          <w:sz w:val="28"/>
          <w:szCs w:val="28"/>
        </w:rPr>
        <w:t xml:space="preserve">удельный вес в объеме ВРП </w:t>
      </w:r>
      <w:r w:rsidR="0005023D" w:rsidRPr="00F650B7">
        <w:rPr>
          <w:rFonts w:ascii="Times New Roman" w:hAnsi="Times New Roman" w:cs="Times New Roman"/>
          <w:sz w:val="28"/>
          <w:szCs w:val="28"/>
        </w:rPr>
        <w:t xml:space="preserve">на протяжении всего прогнозируемого периода будет </w:t>
      </w:r>
      <w:r w:rsidR="00836C83" w:rsidRPr="00F650B7">
        <w:rPr>
          <w:rFonts w:ascii="Times New Roman" w:hAnsi="Times New Roman" w:cs="Times New Roman"/>
          <w:sz w:val="28"/>
          <w:szCs w:val="28"/>
        </w:rPr>
        <w:t>постепенно снижаться с 12,</w:t>
      </w:r>
      <w:r w:rsidR="00285B3F" w:rsidRPr="00F650B7">
        <w:rPr>
          <w:rFonts w:ascii="Times New Roman" w:hAnsi="Times New Roman" w:cs="Times New Roman"/>
          <w:sz w:val="28"/>
          <w:szCs w:val="28"/>
        </w:rPr>
        <w:t>3</w:t>
      </w:r>
      <w:r w:rsidR="00836C83" w:rsidRPr="00F650B7">
        <w:rPr>
          <w:rFonts w:ascii="Times New Roman" w:hAnsi="Times New Roman" w:cs="Times New Roman"/>
          <w:sz w:val="28"/>
          <w:szCs w:val="28"/>
        </w:rPr>
        <w:t>% в 202</w:t>
      </w:r>
      <w:r w:rsidR="00285B3F" w:rsidRPr="00F650B7">
        <w:rPr>
          <w:rFonts w:ascii="Times New Roman" w:hAnsi="Times New Roman" w:cs="Times New Roman"/>
          <w:sz w:val="28"/>
          <w:szCs w:val="28"/>
        </w:rPr>
        <w:t>3</w:t>
      </w:r>
      <w:r w:rsidR="00836C83" w:rsidRPr="00F650B7">
        <w:rPr>
          <w:rFonts w:ascii="Times New Roman" w:hAnsi="Times New Roman" w:cs="Times New Roman"/>
          <w:sz w:val="28"/>
          <w:szCs w:val="28"/>
        </w:rPr>
        <w:t xml:space="preserve"> году до 10,5 % в 2</w:t>
      </w:r>
      <w:r w:rsidR="00285B3F" w:rsidRPr="00F650B7">
        <w:rPr>
          <w:rFonts w:ascii="Times New Roman" w:hAnsi="Times New Roman" w:cs="Times New Roman"/>
          <w:sz w:val="28"/>
          <w:szCs w:val="28"/>
        </w:rPr>
        <w:t>0</w:t>
      </w:r>
      <w:r w:rsidR="00836C83" w:rsidRPr="00F650B7">
        <w:rPr>
          <w:rFonts w:ascii="Times New Roman" w:hAnsi="Times New Roman" w:cs="Times New Roman"/>
          <w:sz w:val="28"/>
          <w:szCs w:val="28"/>
        </w:rPr>
        <w:t>34 году.</w:t>
      </w:r>
      <w:proofErr w:type="gramEnd"/>
    </w:p>
    <w:p w:rsidR="00D70A87" w:rsidRPr="00F650B7" w:rsidRDefault="009E0B0D"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Д</w:t>
      </w:r>
      <w:r w:rsidR="00D70A87" w:rsidRPr="00F650B7">
        <w:rPr>
          <w:rFonts w:ascii="Times New Roman" w:hAnsi="Times New Roman" w:cs="Times New Roman"/>
          <w:sz w:val="28"/>
          <w:szCs w:val="28"/>
        </w:rPr>
        <w:t xml:space="preserve">ефицит областного </w:t>
      </w:r>
      <w:bookmarkStart w:id="3" w:name="_GoBack"/>
      <w:bookmarkEnd w:id="3"/>
      <w:r w:rsidR="00D70A87" w:rsidRPr="00F650B7">
        <w:rPr>
          <w:rFonts w:ascii="Times New Roman" w:hAnsi="Times New Roman" w:cs="Times New Roman"/>
          <w:sz w:val="28"/>
          <w:szCs w:val="28"/>
        </w:rPr>
        <w:t xml:space="preserve">бюджета Ленинградской области </w:t>
      </w:r>
      <w:r w:rsidRPr="00F650B7">
        <w:rPr>
          <w:rFonts w:ascii="Times New Roman" w:hAnsi="Times New Roman" w:cs="Times New Roman"/>
          <w:sz w:val="28"/>
          <w:szCs w:val="28"/>
        </w:rPr>
        <w:t>в прогнозируемый период будет снижаться</w:t>
      </w:r>
      <w:r w:rsidR="00D70A87" w:rsidRPr="00F650B7">
        <w:rPr>
          <w:rFonts w:ascii="Times New Roman" w:hAnsi="Times New Roman" w:cs="Times New Roman"/>
          <w:sz w:val="28"/>
          <w:szCs w:val="28"/>
        </w:rPr>
        <w:t xml:space="preserve">, </w:t>
      </w:r>
      <w:r w:rsidR="0050665A" w:rsidRPr="00F650B7">
        <w:rPr>
          <w:rFonts w:ascii="Times New Roman" w:hAnsi="Times New Roman" w:cs="Times New Roman"/>
          <w:sz w:val="28"/>
          <w:szCs w:val="28"/>
        </w:rPr>
        <w:t xml:space="preserve">его </w:t>
      </w:r>
      <w:r w:rsidR="00D70A87" w:rsidRPr="00F650B7">
        <w:rPr>
          <w:rFonts w:ascii="Times New Roman" w:hAnsi="Times New Roman" w:cs="Times New Roman"/>
          <w:sz w:val="28"/>
          <w:szCs w:val="28"/>
        </w:rPr>
        <w:t>удельный вес в объеме ВРП</w:t>
      </w:r>
      <w:r w:rsidRPr="00F650B7">
        <w:rPr>
          <w:rFonts w:ascii="Times New Roman" w:hAnsi="Times New Roman" w:cs="Times New Roman"/>
          <w:sz w:val="28"/>
          <w:szCs w:val="28"/>
        </w:rPr>
        <w:t xml:space="preserve"> </w:t>
      </w:r>
      <w:r w:rsidR="0050665A" w:rsidRPr="00F650B7">
        <w:rPr>
          <w:rFonts w:ascii="Times New Roman" w:hAnsi="Times New Roman" w:cs="Times New Roman"/>
          <w:sz w:val="28"/>
          <w:szCs w:val="28"/>
        </w:rPr>
        <w:t xml:space="preserve">к 2034 году составит </w:t>
      </w:r>
      <w:r w:rsidR="00D70A87" w:rsidRPr="00F650B7">
        <w:rPr>
          <w:rFonts w:ascii="Times New Roman" w:hAnsi="Times New Roman" w:cs="Times New Roman"/>
          <w:sz w:val="28"/>
          <w:szCs w:val="28"/>
        </w:rPr>
        <w:t>0,0</w:t>
      </w:r>
      <w:r w:rsidR="00836C83" w:rsidRPr="00F650B7">
        <w:rPr>
          <w:rFonts w:ascii="Times New Roman" w:hAnsi="Times New Roman" w:cs="Times New Roman"/>
          <w:sz w:val="28"/>
          <w:szCs w:val="28"/>
        </w:rPr>
        <w:t>4</w:t>
      </w:r>
      <w:r w:rsidR="00D70A87" w:rsidRPr="00F650B7">
        <w:rPr>
          <w:rFonts w:ascii="Times New Roman" w:hAnsi="Times New Roman" w:cs="Times New Roman"/>
          <w:sz w:val="28"/>
          <w:szCs w:val="28"/>
        </w:rPr>
        <w:t>%.</w:t>
      </w:r>
    </w:p>
    <w:p w:rsidR="00D70A87" w:rsidRPr="00F650B7" w:rsidRDefault="0050665A" w:rsidP="00D16555">
      <w:pPr>
        <w:pStyle w:val="ConsPlusNormal"/>
        <w:ind w:firstLine="709"/>
        <w:jc w:val="both"/>
        <w:rPr>
          <w:rFonts w:ascii="Times New Roman" w:hAnsi="Times New Roman" w:cs="Times New Roman"/>
          <w:sz w:val="28"/>
          <w:szCs w:val="28"/>
        </w:rPr>
      </w:pPr>
      <w:proofErr w:type="gramStart"/>
      <w:r w:rsidRPr="00F650B7">
        <w:rPr>
          <w:rFonts w:ascii="Times New Roman" w:hAnsi="Times New Roman" w:cs="Times New Roman"/>
          <w:sz w:val="28"/>
          <w:szCs w:val="28"/>
        </w:rPr>
        <w:t>Несмотря на тенденцию к снижению дефицита областного бюджета Ленинградской области в долгосрочном периоде, п</w:t>
      </w:r>
      <w:r w:rsidR="00D70A87" w:rsidRPr="00F650B7">
        <w:rPr>
          <w:rFonts w:ascii="Times New Roman" w:hAnsi="Times New Roman" w:cs="Times New Roman"/>
          <w:sz w:val="28"/>
          <w:szCs w:val="28"/>
        </w:rPr>
        <w:t>рогнозируется увеличение государственного долга Ленинградской области к 20</w:t>
      </w:r>
      <w:r w:rsidR="00A83CD3" w:rsidRPr="00F650B7">
        <w:rPr>
          <w:rFonts w:ascii="Times New Roman" w:hAnsi="Times New Roman" w:cs="Times New Roman"/>
          <w:sz w:val="28"/>
          <w:szCs w:val="28"/>
        </w:rPr>
        <w:t>34</w:t>
      </w:r>
      <w:r w:rsidR="00D70A87" w:rsidRPr="00F650B7">
        <w:rPr>
          <w:rFonts w:ascii="Times New Roman" w:hAnsi="Times New Roman" w:cs="Times New Roman"/>
          <w:sz w:val="28"/>
          <w:szCs w:val="28"/>
        </w:rPr>
        <w:t xml:space="preserve"> году по сравнению с 20</w:t>
      </w:r>
      <w:r w:rsidR="00A83CD3" w:rsidRPr="00F650B7">
        <w:rPr>
          <w:rFonts w:ascii="Times New Roman" w:hAnsi="Times New Roman" w:cs="Times New Roman"/>
          <w:sz w:val="28"/>
          <w:szCs w:val="28"/>
        </w:rPr>
        <w:t>23</w:t>
      </w:r>
      <w:r w:rsidR="00D70A87" w:rsidRPr="00F650B7">
        <w:rPr>
          <w:rFonts w:ascii="Times New Roman" w:hAnsi="Times New Roman" w:cs="Times New Roman"/>
          <w:sz w:val="28"/>
          <w:szCs w:val="28"/>
        </w:rPr>
        <w:t xml:space="preserve"> годом </w:t>
      </w:r>
      <w:r w:rsidRPr="00F650B7">
        <w:rPr>
          <w:rFonts w:ascii="Times New Roman" w:hAnsi="Times New Roman" w:cs="Times New Roman"/>
          <w:sz w:val="28"/>
          <w:szCs w:val="28"/>
        </w:rPr>
        <w:t>в 3,</w:t>
      </w:r>
      <w:r w:rsidR="00836C83" w:rsidRPr="00F650B7">
        <w:rPr>
          <w:rFonts w:ascii="Times New Roman" w:hAnsi="Times New Roman" w:cs="Times New Roman"/>
          <w:sz w:val="28"/>
          <w:szCs w:val="28"/>
        </w:rPr>
        <w:t>7</w:t>
      </w:r>
      <w:r w:rsidRPr="00F650B7">
        <w:rPr>
          <w:rFonts w:ascii="Times New Roman" w:hAnsi="Times New Roman" w:cs="Times New Roman"/>
          <w:sz w:val="28"/>
          <w:szCs w:val="28"/>
        </w:rPr>
        <w:t xml:space="preserve"> раза, </w:t>
      </w:r>
      <w:r w:rsidR="00C57C7D" w:rsidRPr="00F650B7">
        <w:rPr>
          <w:rFonts w:ascii="Times New Roman" w:hAnsi="Times New Roman" w:cs="Times New Roman"/>
          <w:sz w:val="28"/>
          <w:szCs w:val="28"/>
        </w:rPr>
        <w:t>его у</w:t>
      </w:r>
      <w:r w:rsidR="00D70A87" w:rsidRPr="00F650B7">
        <w:rPr>
          <w:rFonts w:ascii="Times New Roman" w:hAnsi="Times New Roman" w:cs="Times New Roman"/>
          <w:sz w:val="28"/>
          <w:szCs w:val="28"/>
        </w:rPr>
        <w:t xml:space="preserve">дельный вес в объеме ВРП </w:t>
      </w:r>
      <w:r w:rsidR="00824C67" w:rsidRPr="00F650B7">
        <w:rPr>
          <w:rFonts w:ascii="Times New Roman" w:hAnsi="Times New Roman" w:cs="Times New Roman"/>
          <w:sz w:val="28"/>
          <w:szCs w:val="28"/>
        </w:rPr>
        <w:t>увеличится</w:t>
      </w:r>
      <w:r w:rsidR="00D70A87" w:rsidRPr="00F650B7">
        <w:rPr>
          <w:rFonts w:ascii="Times New Roman" w:hAnsi="Times New Roman" w:cs="Times New Roman"/>
          <w:sz w:val="28"/>
          <w:szCs w:val="28"/>
        </w:rPr>
        <w:t xml:space="preserve"> с </w:t>
      </w:r>
      <w:r w:rsidR="0037084E" w:rsidRPr="00F650B7">
        <w:rPr>
          <w:rFonts w:ascii="Times New Roman" w:hAnsi="Times New Roman" w:cs="Times New Roman"/>
          <w:sz w:val="28"/>
          <w:szCs w:val="28"/>
        </w:rPr>
        <w:t>0,5</w:t>
      </w:r>
      <w:r w:rsidR="00D70A87" w:rsidRPr="00F650B7">
        <w:rPr>
          <w:rFonts w:ascii="Times New Roman" w:hAnsi="Times New Roman" w:cs="Times New Roman"/>
          <w:sz w:val="28"/>
          <w:szCs w:val="28"/>
        </w:rPr>
        <w:t>% в 20</w:t>
      </w:r>
      <w:r w:rsidR="00A83CD3" w:rsidRPr="00F650B7">
        <w:rPr>
          <w:rFonts w:ascii="Times New Roman" w:hAnsi="Times New Roman" w:cs="Times New Roman"/>
          <w:sz w:val="28"/>
          <w:szCs w:val="28"/>
        </w:rPr>
        <w:t xml:space="preserve">23 </w:t>
      </w:r>
      <w:r w:rsidR="00D70A87" w:rsidRPr="00F650B7">
        <w:rPr>
          <w:rFonts w:ascii="Times New Roman" w:hAnsi="Times New Roman" w:cs="Times New Roman"/>
          <w:sz w:val="28"/>
          <w:szCs w:val="28"/>
        </w:rPr>
        <w:t xml:space="preserve">году до </w:t>
      </w:r>
      <w:r w:rsidR="00836C83" w:rsidRPr="00F650B7">
        <w:rPr>
          <w:rFonts w:ascii="Times New Roman" w:hAnsi="Times New Roman" w:cs="Times New Roman"/>
          <w:sz w:val="28"/>
          <w:szCs w:val="28"/>
        </w:rPr>
        <w:t>0,8</w:t>
      </w:r>
      <w:r w:rsidR="00D70A87" w:rsidRPr="00F650B7">
        <w:rPr>
          <w:rFonts w:ascii="Times New Roman" w:hAnsi="Times New Roman" w:cs="Times New Roman"/>
          <w:sz w:val="28"/>
          <w:szCs w:val="28"/>
        </w:rPr>
        <w:t>% в 20</w:t>
      </w:r>
      <w:r w:rsidR="00A83CD3" w:rsidRPr="00F650B7">
        <w:rPr>
          <w:rFonts w:ascii="Times New Roman" w:hAnsi="Times New Roman" w:cs="Times New Roman"/>
          <w:sz w:val="28"/>
          <w:szCs w:val="28"/>
        </w:rPr>
        <w:t>34</w:t>
      </w:r>
      <w:r w:rsidR="00D70A87" w:rsidRPr="00F650B7">
        <w:rPr>
          <w:rFonts w:ascii="Times New Roman" w:hAnsi="Times New Roman" w:cs="Times New Roman"/>
          <w:sz w:val="28"/>
          <w:szCs w:val="28"/>
        </w:rPr>
        <w:t xml:space="preserve"> году.</w:t>
      </w:r>
      <w:proofErr w:type="gramEnd"/>
    </w:p>
    <w:p w:rsidR="00645831" w:rsidRPr="00F650B7" w:rsidRDefault="0050665A"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При этом о</w:t>
      </w:r>
      <w:r w:rsidR="00C20375" w:rsidRPr="00F650B7">
        <w:rPr>
          <w:rFonts w:ascii="Times New Roman" w:hAnsi="Times New Roman" w:cs="Times New Roman"/>
          <w:sz w:val="28"/>
          <w:szCs w:val="28"/>
        </w:rPr>
        <w:t>бъем государственного долга останется на экономически безопасном уровне</w:t>
      </w:r>
      <w:r w:rsidR="00805F8E" w:rsidRPr="00F650B7">
        <w:rPr>
          <w:rFonts w:ascii="Times New Roman" w:hAnsi="Times New Roman" w:cs="Times New Roman"/>
          <w:sz w:val="28"/>
          <w:szCs w:val="28"/>
        </w:rPr>
        <w:t xml:space="preserve"> и Ленинградская область сохранит свою позицию в группе заемщиков с высоким уровнем долговой устойчивости</w:t>
      </w:r>
      <w:r w:rsidR="00645831" w:rsidRPr="00F650B7">
        <w:rPr>
          <w:rFonts w:ascii="Times New Roman" w:hAnsi="Times New Roman" w:cs="Times New Roman"/>
          <w:sz w:val="28"/>
          <w:szCs w:val="28"/>
        </w:rPr>
        <w:t xml:space="preserve">. </w:t>
      </w:r>
    </w:p>
    <w:p w:rsidR="00D70A87" w:rsidRPr="00F650B7" w:rsidRDefault="00D70A87"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Прогноз основных характеристик консолидированного бюджета Ленинградской области на период до 20</w:t>
      </w:r>
      <w:r w:rsidR="005E5A5A" w:rsidRPr="00F650B7">
        <w:rPr>
          <w:rFonts w:ascii="Times New Roman" w:hAnsi="Times New Roman" w:cs="Times New Roman"/>
          <w:sz w:val="28"/>
          <w:szCs w:val="28"/>
        </w:rPr>
        <w:t>34</w:t>
      </w:r>
      <w:r w:rsidRPr="00F650B7">
        <w:rPr>
          <w:rFonts w:ascii="Times New Roman" w:hAnsi="Times New Roman" w:cs="Times New Roman"/>
          <w:sz w:val="28"/>
          <w:szCs w:val="28"/>
        </w:rPr>
        <w:t xml:space="preserve"> года представлен в </w:t>
      </w:r>
      <w:hyperlink w:anchor="P1768">
        <w:r w:rsidRPr="00F650B7">
          <w:rPr>
            <w:rFonts w:ascii="Times New Roman" w:hAnsi="Times New Roman" w:cs="Times New Roman"/>
            <w:sz w:val="28"/>
            <w:szCs w:val="28"/>
          </w:rPr>
          <w:t>приложении 4</w:t>
        </w:r>
      </w:hyperlink>
      <w:r w:rsidRPr="00F650B7">
        <w:rPr>
          <w:rFonts w:ascii="Times New Roman" w:hAnsi="Times New Roman" w:cs="Times New Roman"/>
          <w:sz w:val="28"/>
          <w:szCs w:val="28"/>
        </w:rPr>
        <w:t xml:space="preserve"> к Бюджетному прогнозу.</w:t>
      </w:r>
    </w:p>
    <w:p w:rsidR="00FB11B4" w:rsidRPr="00F650B7" w:rsidRDefault="00FB11B4" w:rsidP="00D16555">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Динамика </w:t>
      </w:r>
      <w:proofErr w:type="gramStart"/>
      <w:r w:rsidRPr="00F650B7">
        <w:rPr>
          <w:rFonts w:ascii="Times New Roman" w:hAnsi="Times New Roman" w:cs="Times New Roman"/>
          <w:sz w:val="28"/>
          <w:szCs w:val="28"/>
        </w:rPr>
        <w:t>показателей прогноза основных характеристик консолидированного бюджета Ленинградской области</w:t>
      </w:r>
      <w:proofErr w:type="gramEnd"/>
      <w:r w:rsidRPr="00F650B7">
        <w:rPr>
          <w:rFonts w:ascii="Times New Roman" w:hAnsi="Times New Roman" w:cs="Times New Roman"/>
          <w:sz w:val="28"/>
          <w:szCs w:val="28"/>
        </w:rPr>
        <w:t xml:space="preserve"> на период до 2034 года в целом будет повторять тенденции, складывающиеся по областному бюджету Ленинградской области.</w:t>
      </w:r>
    </w:p>
    <w:p w:rsidR="00D73F91" w:rsidRPr="00F650B7" w:rsidRDefault="00D73F91" w:rsidP="00D16555">
      <w:pPr>
        <w:pStyle w:val="ConsPlusNormal"/>
        <w:ind w:firstLine="709"/>
        <w:rPr>
          <w:strike/>
        </w:rPr>
      </w:pPr>
    </w:p>
    <w:p w:rsidR="00F25514" w:rsidRPr="00F650B7" w:rsidRDefault="00AA6804" w:rsidP="00D16555">
      <w:pPr>
        <w:pStyle w:val="ConsPlusTitle"/>
        <w:jc w:val="center"/>
        <w:rPr>
          <w:rFonts w:ascii="Times New Roman" w:hAnsi="Times New Roman" w:cs="Times New Roman"/>
          <w:sz w:val="28"/>
          <w:szCs w:val="28"/>
        </w:rPr>
      </w:pPr>
      <w:r w:rsidRPr="00F650B7">
        <w:rPr>
          <w:rFonts w:ascii="Times New Roman" w:hAnsi="Times New Roman" w:cs="Times New Roman"/>
          <w:sz w:val="28"/>
          <w:szCs w:val="28"/>
        </w:rPr>
        <w:t xml:space="preserve">4. </w:t>
      </w:r>
      <w:r w:rsidR="00E86D7A" w:rsidRPr="00F650B7">
        <w:rPr>
          <w:rFonts w:ascii="Times New Roman" w:hAnsi="Times New Roman" w:cs="Times New Roman"/>
          <w:sz w:val="28"/>
          <w:szCs w:val="28"/>
        </w:rPr>
        <w:t>Показатели финансового обеспечения</w:t>
      </w:r>
    </w:p>
    <w:p w:rsidR="00093623" w:rsidRPr="00F650B7" w:rsidRDefault="00093623" w:rsidP="00D16555">
      <w:pPr>
        <w:pStyle w:val="ConsPlusTitle"/>
        <w:jc w:val="center"/>
        <w:rPr>
          <w:rFonts w:ascii="Times New Roman" w:hAnsi="Times New Roman" w:cs="Times New Roman"/>
          <w:sz w:val="28"/>
          <w:szCs w:val="28"/>
        </w:rPr>
      </w:pPr>
      <w:r w:rsidRPr="00F650B7">
        <w:rPr>
          <w:rFonts w:ascii="Times New Roman" w:hAnsi="Times New Roman" w:cs="Times New Roman"/>
          <w:sz w:val="28"/>
          <w:szCs w:val="28"/>
        </w:rPr>
        <w:t>национальных проектов и государственных программ</w:t>
      </w:r>
    </w:p>
    <w:p w:rsidR="00E86D7A" w:rsidRPr="00F650B7" w:rsidRDefault="00093623" w:rsidP="00D16555">
      <w:pPr>
        <w:pStyle w:val="ConsPlusTitle"/>
        <w:jc w:val="center"/>
        <w:rPr>
          <w:rFonts w:ascii="Times New Roman" w:hAnsi="Times New Roman" w:cs="Times New Roman"/>
          <w:sz w:val="28"/>
          <w:szCs w:val="28"/>
        </w:rPr>
      </w:pPr>
      <w:r w:rsidRPr="00F650B7">
        <w:rPr>
          <w:rFonts w:ascii="Times New Roman" w:hAnsi="Times New Roman" w:cs="Times New Roman"/>
          <w:sz w:val="28"/>
          <w:szCs w:val="28"/>
        </w:rPr>
        <w:t xml:space="preserve"> </w:t>
      </w:r>
      <w:r w:rsidR="00E86D7A" w:rsidRPr="00F650B7">
        <w:rPr>
          <w:rFonts w:ascii="Times New Roman" w:hAnsi="Times New Roman" w:cs="Times New Roman"/>
          <w:sz w:val="28"/>
          <w:szCs w:val="28"/>
        </w:rPr>
        <w:t>Ленинградской области</w:t>
      </w:r>
      <w:r w:rsidRPr="00F650B7">
        <w:rPr>
          <w:rFonts w:ascii="Times New Roman" w:hAnsi="Times New Roman" w:cs="Times New Roman"/>
          <w:sz w:val="28"/>
          <w:szCs w:val="28"/>
        </w:rPr>
        <w:t xml:space="preserve"> </w:t>
      </w:r>
      <w:r w:rsidR="00E86D7A" w:rsidRPr="00F650B7">
        <w:rPr>
          <w:rFonts w:ascii="Times New Roman" w:hAnsi="Times New Roman" w:cs="Times New Roman"/>
          <w:sz w:val="28"/>
          <w:szCs w:val="28"/>
        </w:rPr>
        <w:t>на период до 2034 года</w:t>
      </w:r>
    </w:p>
    <w:p w:rsidR="00E86D7A" w:rsidRPr="00F650B7" w:rsidRDefault="00E86D7A" w:rsidP="00D16555">
      <w:pPr>
        <w:pStyle w:val="ConsPlusTitle"/>
        <w:jc w:val="center"/>
        <w:rPr>
          <w:rFonts w:ascii="Times New Roman" w:hAnsi="Times New Roman" w:cs="Times New Roman"/>
          <w:sz w:val="28"/>
          <w:szCs w:val="28"/>
          <w:highlight w:val="yellow"/>
        </w:rPr>
      </w:pPr>
    </w:p>
    <w:p w:rsidR="008F632D" w:rsidRPr="00F650B7" w:rsidRDefault="00820CDD" w:rsidP="008F632D">
      <w:pPr>
        <w:widowControl w:val="0"/>
        <w:autoSpaceDE w:val="0"/>
        <w:autoSpaceDN w:val="0"/>
        <w:ind w:firstLine="709"/>
        <w:jc w:val="both"/>
        <w:rPr>
          <w:sz w:val="28"/>
          <w:szCs w:val="28"/>
        </w:rPr>
      </w:pPr>
      <w:hyperlink w:anchor="P2036" w:history="1">
        <w:r w:rsidR="008F632D" w:rsidRPr="00F650B7">
          <w:rPr>
            <w:sz w:val="28"/>
            <w:szCs w:val="28"/>
          </w:rPr>
          <w:t>Показатели</w:t>
        </w:r>
      </w:hyperlink>
      <w:r w:rsidR="008F632D" w:rsidRPr="00F650B7">
        <w:rPr>
          <w:sz w:val="28"/>
          <w:szCs w:val="28"/>
        </w:rPr>
        <w:t xml:space="preserve"> финансового обеспечения национальных проектов и государственных программ Ленинградской области на период до 2034 года представлены в </w:t>
      </w:r>
      <w:r w:rsidR="008F632D" w:rsidRPr="00F650B7">
        <w:rPr>
          <w:rFonts w:eastAsiaTheme="minorEastAsia"/>
          <w:sz w:val="28"/>
          <w:szCs w:val="28"/>
        </w:rPr>
        <w:t>приложении 5</w:t>
      </w:r>
      <w:r w:rsidR="008F632D" w:rsidRPr="00F650B7">
        <w:rPr>
          <w:sz w:val="28"/>
          <w:szCs w:val="28"/>
        </w:rPr>
        <w:t xml:space="preserve"> к Бюджетному прогнозу.</w:t>
      </w:r>
    </w:p>
    <w:p w:rsidR="008F632D" w:rsidRPr="00F650B7" w:rsidRDefault="008F632D" w:rsidP="008F632D">
      <w:pPr>
        <w:widowControl w:val="0"/>
        <w:autoSpaceDE w:val="0"/>
        <w:autoSpaceDN w:val="0"/>
        <w:ind w:firstLine="709"/>
        <w:jc w:val="both"/>
        <w:rPr>
          <w:sz w:val="28"/>
          <w:szCs w:val="28"/>
        </w:rPr>
      </w:pPr>
      <w:r w:rsidRPr="00F650B7">
        <w:rPr>
          <w:sz w:val="28"/>
          <w:szCs w:val="28"/>
        </w:rPr>
        <w:t>Во исполнение национальных целей, утвержденных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Ленинградская область участвует в реализации 1</w:t>
      </w:r>
      <w:r w:rsidR="003D373B" w:rsidRPr="00F650B7">
        <w:rPr>
          <w:sz w:val="28"/>
          <w:szCs w:val="28"/>
        </w:rPr>
        <w:t>1</w:t>
      </w:r>
      <w:r w:rsidRPr="00F650B7">
        <w:rPr>
          <w:sz w:val="28"/>
          <w:szCs w:val="28"/>
        </w:rPr>
        <w:t xml:space="preserve"> национальных проект</w:t>
      </w:r>
      <w:r w:rsidR="003D373B" w:rsidRPr="00F650B7">
        <w:rPr>
          <w:sz w:val="28"/>
          <w:szCs w:val="28"/>
        </w:rPr>
        <w:t>ах</w:t>
      </w:r>
      <w:r w:rsidRPr="00F650B7">
        <w:rPr>
          <w:sz w:val="28"/>
          <w:szCs w:val="28"/>
        </w:rPr>
        <w:t>.</w:t>
      </w:r>
    </w:p>
    <w:p w:rsidR="008F632D" w:rsidRPr="00F650B7" w:rsidRDefault="008F632D" w:rsidP="008F632D">
      <w:pPr>
        <w:autoSpaceDE w:val="0"/>
        <w:autoSpaceDN w:val="0"/>
        <w:adjustRightInd w:val="0"/>
        <w:ind w:firstLine="709"/>
        <w:jc w:val="both"/>
        <w:rPr>
          <w:rFonts w:eastAsiaTheme="minorHAnsi"/>
          <w:sz w:val="28"/>
          <w:szCs w:val="28"/>
          <w:lang w:eastAsia="en-US"/>
        </w:rPr>
      </w:pPr>
      <w:r w:rsidRPr="00F650B7">
        <w:rPr>
          <w:sz w:val="28"/>
          <w:szCs w:val="28"/>
        </w:rPr>
        <w:lastRenderedPageBreak/>
        <w:t>Ф</w:t>
      </w:r>
      <w:r w:rsidRPr="00F650B7">
        <w:rPr>
          <w:rFonts w:eastAsiaTheme="minorHAnsi"/>
          <w:sz w:val="28"/>
          <w:szCs w:val="28"/>
          <w:lang w:eastAsia="en-US"/>
        </w:rPr>
        <w:t>инансовое обеспечение 3</w:t>
      </w:r>
      <w:r w:rsidR="000956C6" w:rsidRPr="00F650B7">
        <w:rPr>
          <w:rFonts w:eastAsiaTheme="minorHAnsi"/>
          <w:sz w:val="28"/>
          <w:szCs w:val="28"/>
          <w:lang w:eastAsia="en-US"/>
        </w:rPr>
        <w:t>6</w:t>
      </w:r>
      <w:r w:rsidRPr="00F650B7">
        <w:rPr>
          <w:rFonts w:eastAsiaTheme="minorHAnsi"/>
          <w:sz w:val="28"/>
          <w:szCs w:val="28"/>
          <w:lang w:eastAsia="en-US"/>
        </w:rPr>
        <w:t xml:space="preserve"> региональных проектов, направленных на реализацию федеральных проектов, входящих в состав соответствующих национальных проектов, за период с 2025 года по 202</w:t>
      </w:r>
      <w:r w:rsidR="00FB2688" w:rsidRPr="00F650B7">
        <w:rPr>
          <w:rFonts w:eastAsiaTheme="minorHAnsi"/>
          <w:sz w:val="28"/>
          <w:szCs w:val="28"/>
          <w:lang w:eastAsia="en-US"/>
        </w:rPr>
        <w:t>8</w:t>
      </w:r>
      <w:r w:rsidRPr="00F650B7">
        <w:rPr>
          <w:rFonts w:eastAsiaTheme="minorHAnsi"/>
          <w:sz w:val="28"/>
          <w:szCs w:val="28"/>
          <w:lang w:eastAsia="en-US"/>
        </w:rPr>
        <w:t xml:space="preserve"> год прогнозируется в сумме </w:t>
      </w:r>
      <w:r w:rsidR="00FB2688" w:rsidRPr="00F650B7">
        <w:rPr>
          <w:rFonts w:eastAsiaTheme="minorHAnsi"/>
          <w:sz w:val="28"/>
          <w:szCs w:val="28"/>
          <w:lang w:eastAsia="en-US"/>
        </w:rPr>
        <w:t>122,9</w:t>
      </w:r>
      <w:r w:rsidRPr="00F650B7">
        <w:rPr>
          <w:rFonts w:eastAsiaTheme="minorHAnsi"/>
          <w:sz w:val="28"/>
          <w:szCs w:val="28"/>
          <w:lang w:eastAsia="en-US"/>
        </w:rPr>
        <w:t xml:space="preserve"> млрд. рублей, что составит </w:t>
      </w:r>
      <w:r w:rsidR="00572EA4" w:rsidRPr="00F650B7">
        <w:rPr>
          <w:rFonts w:eastAsiaTheme="minorHAnsi"/>
          <w:sz w:val="28"/>
          <w:szCs w:val="28"/>
          <w:lang w:eastAsia="en-US"/>
        </w:rPr>
        <w:t>в среднем 10</w:t>
      </w:r>
      <w:r w:rsidRPr="00F650B7">
        <w:rPr>
          <w:rFonts w:eastAsiaTheme="minorHAnsi"/>
          <w:sz w:val="28"/>
          <w:szCs w:val="28"/>
          <w:lang w:eastAsia="en-US"/>
        </w:rPr>
        <w:t xml:space="preserve">% от </w:t>
      </w:r>
      <w:r w:rsidRPr="00F650B7">
        <w:rPr>
          <w:sz w:val="28"/>
          <w:szCs w:val="28"/>
        </w:rPr>
        <w:t>общего объема запланированных расходов.</w:t>
      </w:r>
    </w:p>
    <w:p w:rsidR="008F632D" w:rsidRPr="00F650B7" w:rsidRDefault="008F632D" w:rsidP="008F632D">
      <w:pPr>
        <w:widowControl w:val="0"/>
        <w:autoSpaceDE w:val="0"/>
        <w:autoSpaceDN w:val="0"/>
        <w:ind w:firstLine="709"/>
        <w:jc w:val="both"/>
        <w:rPr>
          <w:sz w:val="28"/>
          <w:szCs w:val="28"/>
        </w:rPr>
      </w:pPr>
      <w:r w:rsidRPr="00F650B7">
        <w:rPr>
          <w:sz w:val="28"/>
          <w:szCs w:val="28"/>
        </w:rPr>
        <w:t>В Ленинградской области реализуется восемнадцать государственных программ с периодом реализации до 2030 года:</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"Развитие здравоохранения в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"Современное образование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"Социальная поддержка отдельных категорий граждан в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"Развитие физической культуры и спорта в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"Развитие культуры в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"Формирование городской среды и обеспечение качественным жильем граждан на территории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"Обеспечение устойчивого функционирования и развития коммунальной и инженерной инфраструктуры и повышение </w:t>
      </w:r>
      <w:proofErr w:type="spellStart"/>
      <w:r w:rsidRPr="00F650B7">
        <w:rPr>
          <w:rFonts w:ascii="Times New Roman" w:hAnsi="Times New Roman" w:cs="Times New Roman"/>
          <w:sz w:val="28"/>
          <w:szCs w:val="28"/>
        </w:rPr>
        <w:t>энергоэффективности</w:t>
      </w:r>
      <w:proofErr w:type="spellEnd"/>
      <w:r w:rsidRPr="00F650B7">
        <w:rPr>
          <w:rFonts w:ascii="Times New Roman" w:hAnsi="Times New Roman" w:cs="Times New Roman"/>
          <w:sz w:val="28"/>
          <w:szCs w:val="28"/>
        </w:rPr>
        <w:t xml:space="preserve"> в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"Безопасность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"Охрана окружающей среды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"Цифровое развитие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"Стимулирование экономической активности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"Развитие транспортной системы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"Развитие сельского хозяйства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"Управление государственными финансами и государственным долгом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"Устойчивое общественное развитие в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"Содействие занятости населения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"Развитие внутреннего и въездного туризма в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"Комплексное развитие сельских территорий Ленинградской области".</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 xml:space="preserve">Бюджетные ассигнования на финансовое обеспечение расходов в рамках государственных программ Ленинградской области на 2023 год составили 92,6% от общего объема запланированных расходов, на непрограммные расходы –7,4% от общего объема запланированных расходов. </w:t>
      </w:r>
    </w:p>
    <w:p w:rsidR="008F632D" w:rsidRPr="00F650B7" w:rsidRDefault="008F632D" w:rsidP="008F632D">
      <w:pPr>
        <w:pStyle w:val="ConsPlusNormal"/>
        <w:ind w:firstLine="709"/>
        <w:jc w:val="both"/>
        <w:rPr>
          <w:rFonts w:ascii="Times New Roman" w:hAnsi="Times New Roman" w:cs="Times New Roman"/>
          <w:sz w:val="28"/>
          <w:szCs w:val="28"/>
        </w:rPr>
      </w:pPr>
      <w:r w:rsidRPr="00F650B7">
        <w:rPr>
          <w:rFonts w:ascii="Times New Roman" w:hAnsi="Times New Roman" w:cs="Times New Roman"/>
          <w:sz w:val="28"/>
          <w:szCs w:val="28"/>
        </w:rPr>
        <w:t>Снижение удельного веса программных расходов в общем объеме расходов областного бюджета Ленинградской области начиная с 202</w:t>
      </w:r>
      <w:r w:rsidR="00572EA4" w:rsidRPr="00F650B7">
        <w:rPr>
          <w:rFonts w:ascii="Times New Roman" w:hAnsi="Times New Roman" w:cs="Times New Roman"/>
          <w:sz w:val="28"/>
          <w:szCs w:val="28"/>
        </w:rPr>
        <w:t>6</w:t>
      </w:r>
      <w:r w:rsidRPr="00F650B7">
        <w:rPr>
          <w:rFonts w:ascii="Times New Roman" w:hAnsi="Times New Roman" w:cs="Times New Roman"/>
          <w:sz w:val="28"/>
          <w:szCs w:val="28"/>
        </w:rPr>
        <w:t xml:space="preserve"> года обусловлено увеличением объема зарезервированных бюджетных ассигнований, условно утвержденных расходов, которые учтены </w:t>
      </w:r>
      <w:proofErr w:type="gramStart"/>
      <w:r w:rsidRPr="00F650B7">
        <w:rPr>
          <w:rFonts w:ascii="Times New Roman" w:hAnsi="Times New Roman" w:cs="Times New Roman"/>
          <w:sz w:val="28"/>
          <w:szCs w:val="28"/>
        </w:rPr>
        <w:t>в непрограммных</w:t>
      </w:r>
      <w:proofErr w:type="gramEnd"/>
      <w:r w:rsidRPr="00F650B7">
        <w:rPr>
          <w:rFonts w:ascii="Times New Roman" w:hAnsi="Times New Roman" w:cs="Times New Roman"/>
          <w:sz w:val="28"/>
          <w:szCs w:val="28"/>
        </w:rPr>
        <w:t xml:space="preserve"> расходах. </w:t>
      </w:r>
      <w:r w:rsidR="008220B7" w:rsidRPr="00F650B7">
        <w:rPr>
          <w:rFonts w:ascii="Times New Roman" w:hAnsi="Times New Roman" w:cs="Times New Roman"/>
          <w:sz w:val="28"/>
          <w:szCs w:val="28"/>
        </w:rPr>
        <w:t>Снижение</w:t>
      </w:r>
      <w:r w:rsidRPr="00F650B7">
        <w:rPr>
          <w:rFonts w:ascii="Times New Roman" w:hAnsi="Times New Roman" w:cs="Times New Roman"/>
          <w:sz w:val="28"/>
          <w:szCs w:val="28"/>
        </w:rPr>
        <w:t xml:space="preserve"> объема финансового обеспечения государственных программ Ленинградской области, начиная с 202</w:t>
      </w:r>
      <w:r w:rsidR="00572EA4" w:rsidRPr="00F650B7">
        <w:rPr>
          <w:rFonts w:ascii="Times New Roman" w:hAnsi="Times New Roman" w:cs="Times New Roman"/>
          <w:sz w:val="28"/>
          <w:szCs w:val="28"/>
        </w:rPr>
        <w:t>9</w:t>
      </w:r>
      <w:r w:rsidRPr="00F650B7">
        <w:rPr>
          <w:rFonts w:ascii="Times New Roman" w:hAnsi="Times New Roman" w:cs="Times New Roman"/>
          <w:sz w:val="28"/>
          <w:szCs w:val="28"/>
        </w:rPr>
        <w:t xml:space="preserve"> года по 2030 год, обусловлено отсутствием межбюджетных трансфертов из федерального бюджета в паспортах государственных программ Ленинградской области. </w:t>
      </w:r>
    </w:p>
    <w:p w:rsidR="00D70A87" w:rsidRPr="00F650B7" w:rsidRDefault="008F632D" w:rsidP="004D4A39">
      <w:pPr>
        <w:pStyle w:val="ConsPlusNormal"/>
        <w:ind w:firstLine="709"/>
        <w:jc w:val="both"/>
      </w:pPr>
      <w:r w:rsidRPr="00F650B7">
        <w:rPr>
          <w:rFonts w:ascii="Times New Roman" w:hAnsi="Times New Roman" w:cs="Times New Roman"/>
          <w:sz w:val="28"/>
          <w:szCs w:val="28"/>
        </w:rPr>
        <w:t>На протяжении всего прогнозируемого периода планируется сохранять уровень программных расходов не ниже 90,0% от общего объема расходов областного бюджета Ленинградской области.</w:t>
      </w:r>
    </w:p>
    <w:sectPr w:rsidR="00D70A87" w:rsidRPr="00F650B7" w:rsidSect="00283398">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CDD" w:rsidRDefault="00820CDD" w:rsidP="00283398">
      <w:r>
        <w:separator/>
      </w:r>
    </w:p>
  </w:endnote>
  <w:endnote w:type="continuationSeparator" w:id="0">
    <w:p w:rsidR="00820CDD" w:rsidRDefault="00820CDD" w:rsidP="0028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017044"/>
      <w:docPartObj>
        <w:docPartGallery w:val="Page Numbers (Bottom of Page)"/>
        <w:docPartUnique/>
      </w:docPartObj>
    </w:sdtPr>
    <w:sdtEndPr/>
    <w:sdtContent>
      <w:p w:rsidR="004D57DB" w:rsidRDefault="004D57DB" w:rsidP="00A21578">
        <w:pPr>
          <w:pStyle w:val="a7"/>
          <w:jc w:val="right"/>
        </w:pPr>
        <w:r>
          <w:fldChar w:fldCharType="begin"/>
        </w:r>
        <w:r>
          <w:instrText>PAGE   \* MERGEFORMAT</w:instrText>
        </w:r>
        <w:r>
          <w:fldChar w:fldCharType="separate"/>
        </w:r>
        <w:r w:rsidR="00F650B7">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CDD" w:rsidRDefault="00820CDD" w:rsidP="00283398">
      <w:r>
        <w:separator/>
      </w:r>
    </w:p>
  </w:footnote>
  <w:footnote w:type="continuationSeparator" w:id="0">
    <w:p w:rsidR="00820CDD" w:rsidRDefault="00820CDD" w:rsidP="00283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D6BB4"/>
    <w:multiLevelType w:val="multilevel"/>
    <w:tmpl w:val="4A1A1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87"/>
    <w:rsid w:val="0000245C"/>
    <w:rsid w:val="000034FA"/>
    <w:rsid w:val="00005B65"/>
    <w:rsid w:val="00007BF9"/>
    <w:rsid w:val="00012CEC"/>
    <w:rsid w:val="000163F9"/>
    <w:rsid w:val="00024CBA"/>
    <w:rsid w:val="000276EE"/>
    <w:rsid w:val="0003044C"/>
    <w:rsid w:val="00032172"/>
    <w:rsid w:val="000418A7"/>
    <w:rsid w:val="00045DF6"/>
    <w:rsid w:val="0005023D"/>
    <w:rsid w:val="00055865"/>
    <w:rsid w:val="0007112D"/>
    <w:rsid w:val="00086EFF"/>
    <w:rsid w:val="000921C2"/>
    <w:rsid w:val="00093623"/>
    <w:rsid w:val="000951FC"/>
    <w:rsid w:val="000956C6"/>
    <w:rsid w:val="000A3637"/>
    <w:rsid w:val="000B7092"/>
    <w:rsid w:val="000C4CB7"/>
    <w:rsid w:val="000C7FEA"/>
    <w:rsid w:val="000D12EF"/>
    <w:rsid w:val="000D7A1F"/>
    <w:rsid w:val="000F0A05"/>
    <w:rsid w:val="00113BAC"/>
    <w:rsid w:val="001242A0"/>
    <w:rsid w:val="00155A5D"/>
    <w:rsid w:val="00166B62"/>
    <w:rsid w:val="00170533"/>
    <w:rsid w:val="001822EA"/>
    <w:rsid w:val="0018606D"/>
    <w:rsid w:val="001925C1"/>
    <w:rsid w:val="001A266E"/>
    <w:rsid w:val="001A42F1"/>
    <w:rsid w:val="001B20A4"/>
    <w:rsid w:val="001C5E7A"/>
    <w:rsid w:val="001C7B74"/>
    <w:rsid w:val="001D1331"/>
    <w:rsid w:val="001D181F"/>
    <w:rsid w:val="001E23D5"/>
    <w:rsid w:val="001E7316"/>
    <w:rsid w:val="001F39D3"/>
    <w:rsid w:val="00207416"/>
    <w:rsid w:val="0021182D"/>
    <w:rsid w:val="00225917"/>
    <w:rsid w:val="0023187F"/>
    <w:rsid w:val="00244D49"/>
    <w:rsid w:val="00260291"/>
    <w:rsid w:val="00265B1B"/>
    <w:rsid w:val="00271B91"/>
    <w:rsid w:val="00272B73"/>
    <w:rsid w:val="00272E3E"/>
    <w:rsid w:val="00283398"/>
    <w:rsid w:val="00285B3F"/>
    <w:rsid w:val="002A0E96"/>
    <w:rsid w:val="002C6BC3"/>
    <w:rsid w:val="002C79FD"/>
    <w:rsid w:val="002D58A4"/>
    <w:rsid w:val="002E2D3E"/>
    <w:rsid w:val="002F5016"/>
    <w:rsid w:val="00302BAC"/>
    <w:rsid w:val="0031294C"/>
    <w:rsid w:val="003233B6"/>
    <w:rsid w:val="00341307"/>
    <w:rsid w:val="00341D63"/>
    <w:rsid w:val="00343605"/>
    <w:rsid w:val="003547C0"/>
    <w:rsid w:val="00361BB5"/>
    <w:rsid w:val="0037084E"/>
    <w:rsid w:val="00370F26"/>
    <w:rsid w:val="003716C5"/>
    <w:rsid w:val="00372FA5"/>
    <w:rsid w:val="0038103B"/>
    <w:rsid w:val="00390933"/>
    <w:rsid w:val="00391F4E"/>
    <w:rsid w:val="003A3F45"/>
    <w:rsid w:val="003B11D2"/>
    <w:rsid w:val="003C3DDD"/>
    <w:rsid w:val="003D19CE"/>
    <w:rsid w:val="003D373B"/>
    <w:rsid w:val="003E7A79"/>
    <w:rsid w:val="00410B07"/>
    <w:rsid w:val="0042565F"/>
    <w:rsid w:val="0043035D"/>
    <w:rsid w:val="00432385"/>
    <w:rsid w:val="00434192"/>
    <w:rsid w:val="00450B32"/>
    <w:rsid w:val="00455AB5"/>
    <w:rsid w:val="00456F67"/>
    <w:rsid w:val="00465685"/>
    <w:rsid w:val="00466C4D"/>
    <w:rsid w:val="00471EF1"/>
    <w:rsid w:val="00472780"/>
    <w:rsid w:val="004763DE"/>
    <w:rsid w:val="004921A0"/>
    <w:rsid w:val="004A0433"/>
    <w:rsid w:val="004C2BF6"/>
    <w:rsid w:val="004D4A39"/>
    <w:rsid w:val="004D57DB"/>
    <w:rsid w:val="004E233C"/>
    <w:rsid w:val="004E2DD8"/>
    <w:rsid w:val="004E439A"/>
    <w:rsid w:val="004E5959"/>
    <w:rsid w:val="004F0544"/>
    <w:rsid w:val="004F3B88"/>
    <w:rsid w:val="004F71AC"/>
    <w:rsid w:val="0050665A"/>
    <w:rsid w:val="00517A36"/>
    <w:rsid w:val="00517B7D"/>
    <w:rsid w:val="00526A87"/>
    <w:rsid w:val="00567F5A"/>
    <w:rsid w:val="005703D3"/>
    <w:rsid w:val="00572EA4"/>
    <w:rsid w:val="00576A09"/>
    <w:rsid w:val="005826BD"/>
    <w:rsid w:val="005842BE"/>
    <w:rsid w:val="00586A52"/>
    <w:rsid w:val="0059025A"/>
    <w:rsid w:val="00591077"/>
    <w:rsid w:val="00592F66"/>
    <w:rsid w:val="005B0FFF"/>
    <w:rsid w:val="005D1B21"/>
    <w:rsid w:val="005E3E97"/>
    <w:rsid w:val="005E550D"/>
    <w:rsid w:val="005E5A5A"/>
    <w:rsid w:val="005F043F"/>
    <w:rsid w:val="005F1475"/>
    <w:rsid w:val="005F7E0E"/>
    <w:rsid w:val="006016AE"/>
    <w:rsid w:val="00606968"/>
    <w:rsid w:val="00616745"/>
    <w:rsid w:val="00645831"/>
    <w:rsid w:val="006627B1"/>
    <w:rsid w:val="00671E9F"/>
    <w:rsid w:val="00682F9C"/>
    <w:rsid w:val="006A1047"/>
    <w:rsid w:val="006A1F6A"/>
    <w:rsid w:val="006D442F"/>
    <w:rsid w:val="006E37B5"/>
    <w:rsid w:val="006F2737"/>
    <w:rsid w:val="006F393A"/>
    <w:rsid w:val="00705238"/>
    <w:rsid w:val="00713252"/>
    <w:rsid w:val="00720C35"/>
    <w:rsid w:val="00723DFE"/>
    <w:rsid w:val="007241AD"/>
    <w:rsid w:val="00724F39"/>
    <w:rsid w:val="00737317"/>
    <w:rsid w:val="00747FA5"/>
    <w:rsid w:val="0075258B"/>
    <w:rsid w:val="00770BEC"/>
    <w:rsid w:val="0077206F"/>
    <w:rsid w:val="00773CDD"/>
    <w:rsid w:val="00793638"/>
    <w:rsid w:val="00794EB6"/>
    <w:rsid w:val="007965E1"/>
    <w:rsid w:val="007B0651"/>
    <w:rsid w:val="007B0912"/>
    <w:rsid w:val="007B6095"/>
    <w:rsid w:val="007C4E86"/>
    <w:rsid w:val="007E5BD5"/>
    <w:rsid w:val="007E6F9E"/>
    <w:rsid w:val="00805F8E"/>
    <w:rsid w:val="008164F9"/>
    <w:rsid w:val="00820CDD"/>
    <w:rsid w:val="008220B7"/>
    <w:rsid w:val="00824C67"/>
    <w:rsid w:val="00833D99"/>
    <w:rsid w:val="00836C83"/>
    <w:rsid w:val="00836F84"/>
    <w:rsid w:val="0084253B"/>
    <w:rsid w:val="00856D13"/>
    <w:rsid w:val="00861351"/>
    <w:rsid w:val="00876C0C"/>
    <w:rsid w:val="008831AD"/>
    <w:rsid w:val="00885D9F"/>
    <w:rsid w:val="00892103"/>
    <w:rsid w:val="008943F0"/>
    <w:rsid w:val="008B366A"/>
    <w:rsid w:val="008B75F5"/>
    <w:rsid w:val="008C0652"/>
    <w:rsid w:val="008C4A1A"/>
    <w:rsid w:val="008D7B4F"/>
    <w:rsid w:val="008E0E63"/>
    <w:rsid w:val="008E1BF5"/>
    <w:rsid w:val="008E7741"/>
    <w:rsid w:val="008F632D"/>
    <w:rsid w:val="00906428"/>
    <w:rsid w:val="009064EF"/>
    <w:rsid w:val="00926F09"/>
    <w:rsid w:val="00933287"/>
    <w:rsid w:val="00940AAD"/>
    <w:rsid w:val="00944BF1"/>
    <w:rsid w:val="00946668"/>
    <w:rsid w:val="00956DB9"/>
    <w:rsid w:val="00964D0D"/>
    <w:rsid w:val="009734C0"/>
    <w:rsid w:val="00974102"/>
    <w:rsid w:val="00982E0E"/>
    <w:rsid w:val="00983BE8"/>
    <w:rsid w:val="009944E8"/>
    <w:rsid w:val="009A1FBF"/>
    <w:rsid w:val="009A5CEB"/>
    <w:rsid w:val="009C0CD9"/>
    <w:rsid w:val="009E0B0D"/>
    <w:rsid w:val="009F44EB"/>
    <w:rsid w:val="009F6586"/>
    <w:rsid w:val="009F667C"/>
    <w:rsid w:val="009F7224"/>
    <w:rsid w:val="00A051C6"/>
    <w:rsid w:val="00A21578"/>
    <w:rsid w:val="00A31321"/>
    <w:rsid w:val="00A31B39"/>
    <w:rsid w:val="00A32C1B"/>
    <w:rsid w:val="00A42FD3"/>
    <w:rsid w:val="00A55979"/>
    <w:rsid w:val="00A570AA"/>
    <w:rsid w:val="00A62E34"/>
    <w:rsid w:val="00A6719B"/>
    <w:rsid w:val="00A704CC"/>
    <w:rsid w:val="00A726BA"/>
    <w:rsid w:val="00A82F1A"/>
    <w:rsid w:val="00A83CD3"/>
    <w:rsid w:val="00A8655B"/>
    <w:rsid w:val="00A91EB4"/>
    <w:rsid w:val="00A95DAB"/>
    <w:rsid w:val="00A96534"/>
    <w:rsid w:val="00AA6804"/>
    <w:rsid w:val="00AB5057"/>
    <w:rsid w:val="00AD150A"/>
    <w:rsid w:val="00B070BC"/>
    <w:rsid w:val="00B355A6"/>
    <w:rsid w:val="00B36C0A"/>
    <w:rsid w:val="00B50D30"/>
    <w:rsid w:val="00B554C6"/>
    <w:rsid w:val="00B561F8"/>
    <w:rsid w:val="00B668E0"/>
    <w:rsid w:val="00B70F3A"/>
    <w:rsid w:val="00B71B5A"/>
    <w:rsid w:val="00B7572C"/>
    <w:rsid w:val="00B775B7"/>
    <w:rsid w:val="00B842E0"/>
    <w:rsid w:val="00B9304C"/>
    <w:rsid w:val="00B95B44"/>
    <w:rsid w:val="00B968EE"/>
    <w:rsid w:val="00BA2C3A"/>
    <w:rsid w:val="00BA3D43"/>
    <w:rsid w:val="00BB56AE"/>
    <w:rsid w:val="00BD1B0F"/>
    <w:rsid w:val="00BF0BE2"/>
    <w:rsid w:val="00BF65A9"/>
    <w:rsid w:val="00BF65C4"/>
    <w:rsid w:val="00C016D8"/>
    <w:rsid w:val="00C03507"/>
    <w:rsid w:val="00C10224"/>
    <w:rsid w:val="00C10697"/>
    <w:rsid w:val="00C127C0"/>
    <w:rsid w:val="00C155A2"/>
    <w:rsid w:val="00C20375"/>
    <w:rsid w:val="00C2231B"/>
    <w:rsid w:val="00C253EB"/>
    <w:rsid w:val="00C259B9"/>
    <w:rsid w:val="00C317CA"/>
    <w:rsid w:val="00C33B32"/>
    <w:rsid w:val="00C362B8"/>
    <w:rsid w:val="00C44CB7"/>
    <w:rsid w:val="00C56CDF"/>
    <w:rsid w:val="00C57C7D"/>
    <w:rsid w:val="00C636D7"/>
    <w:rsid w:val="00CA328B"/>
    <w:rsid w:val="00CA5837"/>
    <w:rsid w:val="00CC38C4"/>
    <w:rsid w:val="00CC5191"/>
    <w:rsid w:val="00CC5A67"/>
    <w:rsid w:val="00CD5C29"/>
    <w:rsid w:val="00CE00C3"/>
    <w:rsid w:val="00CE1216"/>
    <w:rsid w:val="00CE1AB6"/>
    <w:rsid w:val="00CE4907"/>
    <w:rsid w:val="00CF295B"/>
    <w:rsid w:val="00D02024"/>
    <w:rsid w:val="00D0667D"/>
    <w:rsid w:val="00D07249"/>
    <w:rsid w:val="00D13900"/>
    <w:rsid w:val="00D14A10"/>
    <w:rsid w:val="00D16555"/>
    <w:rsid w:val="00D3738D"/>
    <w:rsid w:val="00D50F5A"/>
    <w:rsid w:val="00D5322E"/>
    <w:rsid w:val="00D70A87"/>
    <w:rsid w:val="00D73F91"/>
    <w:rsid w:val="00D81DB2"/>
    <w:rsid w:val="00D83094"/>
    <w:rsid w:val="00D936A4"/>
    <w:rsid w:val="00DA6419"/>
    <w:rsid w:val="00DA68DF"/>
    <w:rsid w:val="00DB2B16"/>
    <w:rsid w:val="00DB7839"/>
    <w:rsid w:val="00DD5784"/>
    <w:rsid w:val="00DE54DF"/>
    <w:rsid w:val="00DE7B10"/>
    <w:rsid w:val="00DF3A67"/>
    <w:rsid w:val="00DF57AC"/>
    <w:rsid w:val="00E01688"/>
    <w:rsid w:val="00E040E3"/>
    <w:rsid w:val="00E17129"/>
    <w:rsid w:val="00E216FA"/>
    <w:rsid w:val="00E2662A"/>
    <w:rsid w:val="00E27DE5"/>
    <w:rsid w:val="00E378A0"/>
    <w:rsid w:val="00E42653"/>
    <w:rsid w:val="00E53CDF"/>
    <w:rsid w:val="00E54BCE"/>
    <w:rsid w:val="00E60702"/>
    <w:rsid w:val="00E628F0"/>
    <w:rsid w:val="00E65C7E"/>
    <w:rsid w:val="00E86D7A"/>
    <w:rsid w:val="00EA5380"/>
    <w:rsid w:val="00EB4E90"/>
    <w:rsid w:val="00EB54EF"/>
    <w:rsid w:val="00EC78DA"/>
    <w:rsid w:val="00ED1A23"/>
    <w:rsid w:val="00ED42C5"/>
    <w:rsid w:val="00ED4A34"/>
    <w:rsid w:val="00ED5E57"/>
    <w:rsid w:val="00EE3D10"/>
    <w:rsid w:val="00EF48D8"/>
    <w:rsid w:val="00F03146"/>
    <w:rsid w:val="00F079D2"/>
    <w:rsid w:val="00F23BDC"/>
    <w:rsid w:val="00F25514"/>
    <w:rsid w:val="00F40647"/>
    <w:rsid w:val="00F41D13"/>
    <w:rsid w:val="00F43137"/>
    <w:rsid w:val="00F650B7"/>
    <w:rsid w:val="00F83E56"/>
    <w:rsid w:val="00FB11B4"/>
    <w:rsid w:val="00FB2688"/>
    <w:rsid w:val="00FC1C98"/>
    <w:rsid w:val="00FC1F8A"/>
    <w:rsid w:val="00FD1B86"/>
    <w:rsid w:val="00FE4B2D"/>
    <w:rsid w:val="00FE5133"/>
    <w:rsid w:val="00FF0B04"/>
    <w:rsid w:val="00FF7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70A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70A8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70A87"/>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F03146"/>
    <w:rPr>
      <w:rFonts w:ascii="Tahoma" w:hAnsi="Tahoma" w:cs="Tahoma"/>
      <w:sz w:val="16"/>
      <w:szCs w:val="16"/>
    </w:rPr>
  </w:style>
  <w:style w:type="character" w:customStyle="1" w:styleId="a4">
    <w:name w:val="Текст выноски Знак"/>
    <w:basedOn w:val="a0"/>
    <w:link w:val="a3"/>
    <w:uiPriority w:val="99"/>
    <w:semiHidden/>
    <w:rsid w:val="00F03146"/>
    <w:rPr>
      <w:rFonts w:ascii="Tahoma" w:eastAsia="Times New Roman" w:hAnsi="Tahoma" w:cs="Tahoma"/>
      <w:sz w:val="16"/>
      <w:szCs w:val="16"/>
      <w:lang w:eastAsia="ru-RU"/>
    </w:rPr>
  </w:style>
  <w:style w:type="paragraph" w:customStyle="1" w:styleId="10">
    <w:name w:val="Знак Знак10 Знак Знак Знак Знак Знак Знак Знак Знак"/>
    <w:basedOn w:val="a"/>
    <w:rsid w:val="00A704CC"/>
    <w:pPr>
      <w:spacing w:after="160" w:line="240" w:lineRule="exact"/>
    </w:pPr>
    <w:rPr>
      <w:rFonts w:ascii="Verdana" w:hAnsi="Verdana"/>
      <w:sz w:val="20"/>
      <w:szCs w:val="20"/>
      <w:lang w:val="en-US" w:eastAsia="en-US"/>
    </w:rPr>
  </w:style>
  <w:style w:type="paragraph" w:styleId="a5">
    <w:name w:val="header"/>
    <w:basedOn w:val="a"/>
    <w:link w:val="a6"/>
    <w:uiPriority w:val="99"/>
    <w:unhideWhenUsed/>
    <w:rsid w:val="00283398"/>
    <w:pPr>
      <w:tabs>
        <w:tab w:val="center" w:pos="4677"/>
        <w:tab w:val="right" w:pos="9355"/>
      </w:tabs>
    </w:pPr>
  </w:style>
  <w:style w:type="character" w:customStyle="1" w:styleId="a6">
    <w:name w:val="Верхний колонтитул Знак"/>
    <w:basedOn w:val="a0"/>
    <w:link w:val="a5"/>
    <w:uiPriority w:val="99"/>
    <w:rsid w:val="0028339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83398"/>
    <w:pPr>
      <w:tabs>
        <w:tab w:val="center" w:pos="4677"/>
        <w:tab w:val="right" w:pos="9355"/>
      </w:tabs>
    </w:pPr>
  </w:style>
  <w:style w:type="character" w:customStyle="1" w:styleId="a8">
    <w:name w:val="Нижний колонтитул Знак"/>
    <w:basedOn w:val="a0"/>
    <w:link w:val="a7"/>
    <w:uiPriority w:val="99"/>
    <w:rsid w:val="00283398"/>
    <w:rPr>
      <w:rFonts w:ascii="Times New Roman" w:eastAsia="Times New Roman" w:hAnsi="Times New Roman" w:cs="Times New Roman"/>
      <w:sz w:val="24"/>
      <w:szCs w:val="24"/>
      <w:lang w:eastAsia="ru-RU"/>
    </w:rPr>
  </w:style>
  <w:style w:type="paragraph" w:styleId="a9">
    <w:name w:val="List Paragraph"/>
    <w:basedOn w:val="a"/>
    <w:uiPriority w:val="34"/>
    <w:qFormat/>
    <w:rsid w:val="00E26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70A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70A8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70A87"/>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F03146"/>
    <w:rPr>
      <w:rFonts w:ascii="Tahoma" w:hAnsi="Tahoma" w:cs="Tahoma"/>
      <w:sz w:val="16"/>
      <w:szCs w:val="16"/>
    </w:rPr>
  </w:style>
  <w:style w:type="character" w:customStyle="1" w:styleId="a4">
    <w:name w:val="Текст выноски Знак"/>
    <w:basedOn w:val="a0"/>
    <w:link w:val="a3"/>
    <w:uiPriority w:val="99"/>
    <w:semiHidden/>
    <w:rsid w:val="00F03146"/>
    <w:rPr>
      <w:rFonts w:ascii="Tahoma" w:eastAsia="Times New Roman" w:hAnsi="Tahoma" w:cs="Tahoma"/>
      <w:sz w:val="16"/>
      <w:szCs w:val="16"/>
      <w:lang w:eastAsia="ru-RU"/>
    </w:rPr>
  </w:style>
  <w:style w:type="paragraph" w:customStyle="1" w:styleId="10">
    <w:name w:val="Знак Знак10 Знак Знак Знак Знак Знак Знак Знак Знак"/>
    <w:basedOn w:val="a"/>
    <w:rsid w:val="00A704CC"/>
    <w:pPr>
      <w:spacing w:after="160" w:line="240" w:lineRule="exact"/>
    </w:pPr>
    <w:rPr>
      <w:rFonts w:ascii="Verdana" w:hAnsi="Verdana"/>
      <w:sz w:val="20"/>
      <w:szCs w:val="20"/>
      <w:lang w:val="en-US" w:eastAsia="en-US"/>
    </w:rPr>
  </w:style>
  <w:style w:type="paragraph" w:styleId="a5">
    <w:name w:val="header"/>
    <w:basedOn w:val="a"/>
    <w:link w:val="a6"/>
    <w:uiPriority w:val="99"/>
    <w:unhideWhenUsed/>
    <w:rsid w:val="00283398"/>
    <w:pPr>
      <w:tabs>
        <w:tab w:val="center" w:pos="4677"/>
        <w:tab w:val="right" w:pos="9355"/>
      </w:tabs>
    </w:pPr>
  </w:style>
  <w:style w:type="character" w:customStyle="1" w:styleId="a6">
    <w:name w:val="Верхний колонтитул Знак"/>
    <w:basedOn w:val="a0"/>
    <w:link w:val="a5"/>
    <w:uiPriority w:val="99"/>
    <w:rsid w:val="0028339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83398"/>
    <w:pPr>
      <w:tabs>
        <w:tab w:val="center" w:pos="4677"/>
        <w:tab w:val="right" w:pos="9355"/>
      </w:tabs>
    </w:pPr>
  </w:style>
  <w:style w:type="character" w:customStyle="1" w:styleId="a8">
    <w:name w:val="Нижний колонтитул Знак"/>
    <w:basedOn w:val="a0"/>
    <w:link w:val="a7"/>
    <w:uiPriority w:val="99"/>
    <w:rsid w:val="00283398"/>
    <w:rPr>
      <w:rFonts w:ascii="Times New Roman" w:eastAsia="Times New Roman" w:hAnsi="Times New Roman" w:cs="Times New Roman"/>
      <w:sz w:val="24"/>
      <w:szCs w:val="24"/>
      <w:lang w:eastAsia="ru-RU"/>
    </w:rPr>
  </w:style>
  <w:style w:type="paragraph" w:styleId="a9">
    <w:name w:val="List Paragraph"/>
    <w:basedOn w:val="a"/>
    <w:uiPriority w:val="34"/>
    <w:qFormat/>
    <w:rsid w:val="00E26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F0C0-0ECE-4055-B70F-682C8C83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3898</TotalTime>
  <Pages>12</Pages>
  <Words>4417</Words>
  <Characters>25178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 Сергей Сергеевич</dc:creator>
  <cp:lastModifiedBy>Старостина Рузанна Левоновна</cp:lastModifiedBy>
  <cp:revision>199</cp:revision>
  <cp:lastPrinted>2026-02-02T13:32:00Z</cp:lastPrinted>
  <dcterms:created xsi:type="dcterms:W3CDTF">2022-08-30T14:18:00Z</dcterms:created>
  <dcterms:modified xsi:type="dcterms:W3CDTF">2026-02-03T08:28:00Z</dcterms:modified>
</cp:coreProperties>
</file>