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ПОЯСНИТЕЛЬНАЯ ЗАПИСКА</w:t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66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  <w:br/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 внесении изменений в</w:t>
      </w:r>
      <w:r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Правительства Ленинградской области от </w:t>
      </w:r>
      <w:r>
        <w:rPr>
          <w:sz w:val="28"/>
          <w:szCs w:val="28"/>
        </w:rPr>
        <w:t xml:space="preserve">9 ноября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726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переименовании управления Ленинградской области по транспорту, об утверждении положения о Комитете Ленинградской области по транспорту и признании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</w:rPr>
        <w:t xml:space="preserve"> силу отдельных постановлений Правительства Ленинградской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</w:t>
      </w:r>
      <w:r>
        <w:rPr>
          <w:rFonts w:eastAsiaTheme="minorHAnsi"/>
          <w:sz w:val="28"/>
          <w:szCs w:val="28"/>
          <w:lang w:eastAsia="en-US"/>
        </w:rPr>
        <w:t xml:space="preserve">Федеральны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ом</w:t>
      </w:r>
      <w:r>
        <w:rPr>
          <w:rFonts w:eastAsiaTheme="minorHAnsi"/>
          <w:sz w:val="28"/>
          <w:szCs w:val="28"/>
          <w:lang w:eastAsia="en-US"/>
        </w:rPr>
        <w:t xml:space="preserve"> от 30.12.2021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470-ФЗ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в Кодекс торгового мореплавания Российской Федерации (далее – КТМ) внесены изменения, наделяющие органы исполнительной власти </w:t>
      </w:r>
      <w:r>
        <w:rPr>
          <w:rFonts w:eastAsiaTheme="minorHAnsi"/>
          <w:sz w:val="28"/>
          <w:szCs w:val="28"/>
          <w:lang w:eastAsia="en-US"/>
        </w:rPr>
        <w:t xml:space="preserve">субъектов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Российской Федерации полномочия</w:t>
      </w:r>
      <w:r>
        <w:rPr>
          <w:rFonts w:eastAsiaTheme="minorHAnsi"/>
          <w:sz w:val="28"/>
          <w:szCs w:val="28"/>
          <w:lang w:eastAsia="en-US"/>
        </w:rPr>
        <w:t xml:space="preserve">ми</w:t>
      </w:r>
      <w:r>
        <w:rPr>
          <w:rFonts w:eastAsiaTheme="minorHAnsi"/>
          <w:sz w:val="28"/>
          <w:szCs w:val="28"/>
          <w:lang w:eastAsia="en-US"/>
        </w:rPr>
        <w:t xml:space="preserve"> по удалению затонувшего имущества.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</w:t>
      </w:r>
      <w:r>
        <w:rPr>
          <w:rFonts w:eastAsiaTheme="minorHAnsi"/>
          <w:sz w:val="28"/>
          <w:szCs w:val="28"/>
          <w:lang w:eastAsia="en-US"/>
        </w:rPr>
        <w:t xml:space="preserve">частью 1 статьи 109 КТМ</w:t>
      </w:r>
      <w:r>
        <w:rPr>
          <w:rFonts w:eastAsiaTheme="minorHAnsi"/>
          <w:sz w:val="28"/>
          <w:szCs w:val="28"/>
          <w:lang w:eastAsia="en-US"/>
        </w:rPr>
        <w:t xml:space="preserve">, удаление затонувшего имущества обеспечивается органом исполнительной власти субъекта Российской Федерации, </w:t>
        <w:br/>
      </w:r>
      <w:r>
        <w:rPr>
          <w:rFonts w:eastAsiaTheme="minorHAnsi"/>
          <w:sz w:val="28"/>
          <w:szCs w:val="28"/>
          <w:lang w:eastAsia="en-US"/>
        </w:rPr>
        <w:t xml:space="preserve">к побережью которого ближе всего расположено затонувшее имущество.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резолюцией Губернатора Ленинградской области </w:t>
      </w:r>
      <w:r>
        <w:rPr>
          <w:sz w:val="28"/>
          <w:szCs w:val="28"/>
        </w:rPr>
        <w:t xml:space="preserve">на докладе Комитета финансов Ленинградской области от 08.05.2026 № 14-03/64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таким </w:t>
      </w:r>
      <w:r>
        <w:rPr>
          <w:sz w:val="28"/>
          <w:szCs w:val="28"/>
        </w:rPr>
        <w:t xml:space="preserve">органом </w:t>
      </w:r>
      <w:r>
        <w:rPr>
          <w:sz w:val="28"/>
          <w:szCs w:val="28"/>
        </w:rPr>
        <w:t xml:space="preserve">определён Комитет Ленинградской области по транспорту</w:t>
      </w:r>
      <w:r>
        <w:rPr>
          <w:sz w:val="28"/>
          <w:szCs w:val="28"/>
        </w:rPr>
        <w:t xml:space="preserve"> (далее – Комитет)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 предусматривает дополнение</w:t>
      </w:r>
      <w:r>
        <w:rPr>
          <w:sz w:val="28"/>
          <w:szCs w:val="28"/>
        </w:rPr>
        <w:t xml:space="preserve"> положения о Комитете полномочиями по обеспечению удаления затонувшего имущества и функциями по осуществлению взаимодействия </w:t>
      </w:r>
      <w:r>
        <w:rPr>
          <w:sz w:val="28"/>
          <w:szCs w:val="28"/>
        </w:rPr>
        <w:t xml:space="preserve">с территориальными органами федеральных органов исполнительной власти в сфере транспорта и транспортными организациями по вопросам удаления затонувшего имущества.</w:t>
      </w:r>
      <w:r>
        <w:rPr>
          <w:sz w:val="28"/>
          <w:szCs w:val="28"/>
        </w:rPr>
      </w:r>
    </w:p>
    <w:p>
      <w:pPr>
        <w:pStyle w:val="6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выполнение мероприятий по организации удаления затонувшего имущества, в том числе установление оснований для обязательного удаления затонувшего имущества; организация и проведени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конкурсных процедур по подготовке документации по удалению затонувшего имущества, выбору исполнителя мероприятий по удалению затонувшего имущества; </w:t>
      </w:r>
      <w:r>
        <w:rPr>
          <w:sz w:val="28"/>
          <w:szCs w:val="28"/>
        </w:rPr>
        <w:t xml:space="preserve">подготовка проектов обращений об отсутствии возможности удаления затонувшего имущества или извещений о намерении приступить к удалению затонувшего имущества </w:t>
        <w:br/>
      </w:r>
      <w:r>
        <w:rPr>
          <w:sz w:val="28"/>
          <w:szCs w:val="28"/>
        </w:rPr>
        <w:t xml:space="preserve">и об удалении затонувшего имущества; подготовка документов </w:t>
        <w:br/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софинансированию</w:t>
      </w:r>
      <w:r>
        <w:rPr>
          <w:sz w:val="28"/>
          <w:szCs w:val="28"/>
        </w:rPr>
        <w:t xml:space="preserve"> расходных обязательств Ленинградской области по удалению затонувшего имущества из федерального бюджета </w:t>
      </w:r>
      <w:r>
        <w:rPr>
          <w:sz w:val="28"/>
          <w:szCs w:val="28"/>
        </w:rPr>
        <w:t xml:space="preserve">буд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осуществляться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ым </w:t>
      </w:r>
      <w:r>
        <w:rPr>
          <w:sz w:val="28"/>
          <w:szCs w:val="28"/>
        </w:rPr>
        <w:t xml:space="preserve">казенн</w:t>
      </w:r>
      <w:r>
        <w:rPr>
          <w:sz w:val="28"/>
          <w:szCs w:val="28"/>
        </w:rPr>
        <w:t xml:space="preserve">ым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Ленинградской области «Ленинградское областное управление транспорта»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 акта не подлежит оценке регулирующего воздействия, </w:t>
      </w:r>
      <w:r>
        <w:rPr>
          <w:rFonts w:eastAsiaTheme="minorHAnsi"/>
          <w:sz w:val="28"/>
          <w:szCs w:val="28"/>
          <w:lang w:eastAsia="en-US"/>
        </w:rPr>
        <w:t xml:space="preserve">так как </w:t>
        <w:br/>
        <w:t xml:space="preserve">не содержит положений, вводящих избыточные обязанности, запреты </w:t>
      </w:r>
      <w:r>
        <w:rPr>
          <w:rFonts w:eastAsiaTheme="minorHAnsi"/>
          <w:sz w:val="28"/>
          <w:szCs w:val="28"/>
          <w:lang w:eastAsia="en-US"/>
        </w:rPr>
        <w:t xml:space="preserve">и ограничения для субъектов предпринимательской и инвестиционной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  <w:br/>
      </w:r>
      <w:r>
        <w:rPr>
          <w:rFonts w:eastAsiaTheme="minorHAnsi"/>
          <w:sz w:val="28"/>
          <w:szCs w:val="28"/>
          <w:lang w:eastAsia="en-US"/>
        </w:rPr>
        <w:t xml:space="preserve">и инвестиционной деятельности.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редседател</w:t>
      </w:r>
      <w:r>
        <w:rPr>
          <w:rFonts w:eastAsiaTheme="minorHAnsi"/>
          <w:sz w:val="28"/>
          <w:szCs w:val="28"/>
          <w:lang w:eastAsia="en-US"/>
        </w:rPr>
        <w:t xml:space="preserve">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</w:t>
      </w:r>
      <w:r>
        <w:rPr>
          <w:rFonts w:eastAsiaTheme="minorHAnsi"/>
          <w:sz w:val="28"/>
          <w:szCs w:val="28"/>
          <w:lang w:eastAsia="en-US"/>
        </w:rPr>
        <w:t xml:space="preserve">омитета</w:t>
      </w:r>
      <w:r>
        <w:rPr>
          <w:rFonts w:eastAsiaTheme="minorHAnsi"/>
          <w:sz w:val="28"/>
          <w:szCs w:val="28"/>
          <w:lang w:eastAsia="en-US"/>
        </w:rPr>
      </w:r>
    </w:p>
    <w:p>
      <w:pPr>
        <w:spacing w:after="200"/>
        <w:widowControl w:val="off"/>
        <w:rPr>
          <w:rFonts w:eastAsia="Times New Roman"/>
          <w:b/>
          <w:bCs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lang w:eastAsia="en-US"/>
        </w:rPr>
        <w:t xml:space="preserve">Ленинград</w:t>
      </w:r>
      <w:r>
        <w:rPr>
          <w:rFonts w:eastAsiaTheme="minorHAnsi"/>
          <w:sz w:val="28"/>
          <w:szCs w:val="28"/>
          <w:lang w:eastAsia="en-US"/>
        </w:rPr>
        <w:t xml:space="preserve">ской области по транспорту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О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Антропов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bCs/>
          <w:sz w:val="28"/>
          <w:szCs w:val="28"/>
          <w:highlight w:val="none"/>
        </w:rPr>
      </w:r>
    </w:p>
    <w:p>
      <w:pPr>
        <w:shd w:val="nil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 w:clear="all"/>
      </w:r>
      <w:r>
        <w:rPr>
          <w:rFonts w:eastAsia="Times New Roman"/>
          <w:b/>
          <w:bCs/>
          <w:sz w:val="28"/>
          <w:szCs w:val="28"/>
        </w:rPr>
      </w:r>
    </w:p>
    <w:p>
      <w:pPr>
        <w:spacing w:after="200"/>
        <w:widowControl w:val="off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  <w:highlight w:val="none"/>
        </w:rPr>
      </w:r>
      <w:r>
        <w:rPr>
          <w:rFonts w:eastAsia="Times New Roman"/>
          <w:b/>
          <w:sz w:val="28"/>
          <w:szCs w:val="28"/>
          <w:highlight w:val="none"/>
        </w:rPr>
      </w:r>
    </w:p>
    <w:p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 xml:space="preserve">ТЕХНИКО-ЭКОНОМИЧЕСКОЕ ОБОСНОВАНИЕ</w:t>
      </w:r>
      <w:r>
        <w:rPr>
          <w:rFonts w:eastAsia="Times New Roman"/>
          <w:sz w:val="20"/>
          <w:szCs w:val="20"/>
        </w:rPr>
      </w:r>
    </w:p>
    <w:p>
      <w:pPr>
        <w:pStyle w:val="66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  <w:br/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 внесении изменений в</w:t>
      </w:r>
      <w:r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Правительства Ленинградской области от </w:t>
      </w:r>
      <w:r>
        <w:rPr>
          <w:sz w:val="28"/>
          <w:szCs w:val="28"/>
        </w:rPr>
        <w:t xml:space="preserve">9 ноября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726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переименовании управления Ленинградской области по транспорту, об утверждении положения о Комитете Ленинградской области по транспорту и признании </w:t>
      </w:r>
      <w:r>
        <w:rPr>
          <w:sz w:val="28"/>
          <w:szCs w:val="28"/>
        </w:rPr>
        <w:t xml:space="preserve">утратившими</w:t>
      </w:r>
      <w:r>
        <w:rPr>
          <w:sz w:val="28"/>
          <w:szCs w:val="28"/>
        </w:rPr>
        <w:t xml:space="preserve"> силу отдельных постановлений Правительства Ленинградской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Принятие проекта </w:t>
      </w:r>
      <w:r>
        <w:rPr>
          <w:rFonts w:eastAsiaTheme="minorHAnsi"/>
          <w:sz w:val="28"/>
          <w:szCs w:val="28"/>
          <w:lang w:eastAsia="en-US"/>
        </w:rPr>
        <w:t xml:space="preserve">постановления Правительства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  <w:br/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 внесении изменений в</w:t>
      </w:r>
      <w:r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Правительства Ленинградской области </w:t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9 ноября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726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переименовании управления Ленинградской области по транспорту, об утверждении положения о Комитете Ленинградской области по транспорту и признании утратившими силу отдельных постановлений Правительства Ленинградской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 потребует выделения дополнительных средств из областного бюджета</w:t>
      </w:r>
      <w:r>
        <w:rPr>
          <w:rFonts w:eastAsiaTheme="minorHAnsi"/>
          <w:sz w:val="28"/>
          <w:szCs w:val="28"/>
          <w:lang w:eastAsia="en-US"/>
        </w:rPr>
        <w:t xml:space="preserve">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Точный объём дополнительного финансирования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 областного бюджета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будет определяться на основании производимых сметных расчетов и зависеть от специфики </w:t>
      </w:r>
      <w:r>
        <w:rPr>
          <w:rFonts w:eastAsiaTheme="minorHAnsi"/>
          <w:sz w:val="28"/>
          <w:szCs w:val="28"/>
          <w:lang w:eastAsia="en-US"/>
        </w:rPr>
        <w:t xml:space="preserve">удал</w:t>
      </w:r>
      <w:r>
        <w:rPr>
          <w:rFonts w:eastAsiaTheme="minorHAnsi"/>
          <w:sz w:val="28"/>
          <w:szCs w:val="28"/>
          <w:lang w:eastAsia="en-US"/>
        </w:rPr>
        <w:t xml:space="preserve">яемого </w:t>
      </w:r>
      <w:r>
        <w:rPr>
          <w:rFonts w:eastAsiaTheme="minorHAnsi"/>
          <w:sz w:val="28"/>
          <w:szCs w:val="28"/>
          <w:lang w:eastAsia="en-US"/>
        </w:rPr>
        <w:t xml:space="preserve">затонувшего имущества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</w:r>
    </w:p>
    <w:p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</w:p>
    <w:p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редседател</w:t>
      </w:r>
      <w:r>
        <w:rPr>
          <w:rFonts w:eastAsiaTheme="minorHAnsi"/>
          <w:sz w:val="28"/>
          <w:szCs w:val="28"/>
          <w:lang w:eastAsia="en-US"/>
        </w:rPr>
        <w:t xml:space="preserve">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</w:t>
      </w:r>
      <w:r>
        <w:rPr>
          <w:rFonts w:eastAsiaTheme="minorHAnsi"/>
          <w:sz w:val="28"/>
          <w:szCs w:val="28"/>
          <w:lang w:eastAsia="en-US"/>
        </w:rPr>
        <w:t xml:space="preserve">омитета</w:t>
      </w:r>
      <w:r>
        <w:rPr>
          <w:rFonts w:eastAsiaTheme="minorHAnsi"/>
          <w:sz w:val="28"/>
          <w:szCs w:val="28"/>
          <w:lang w:eastAsia="en-US"/>
        </w:rPr>
      </w:r>
    </w:p>
    <w:p>
      <w:pPr>
        <w:spacing w:after="200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Ленинград</w:t>
      </w:r>
      <w:r>
        <w:rPr>
          <w:rFonts w:eastAsiaTheme="minorHAnsi"/>
          <w:sz w:val="28"/>
          <w:szCs w:val="28"/>
          <w:lang w:eastAsia="en-US"/>
        </w:rPr>
        <w:t xml:space="preserve">ской области по тр</w:t>
      </w:r>
      <w:bookmarkStart w:id="0" w:name="_GoBack"/>
      <w:r/>
      <w:bookmarkEnd w:id="0"/>
      <w:r>
        <w:rPr>
          <w:rFonts w:eastAsiaTheme="minorHAnsi"/>
          <w:sz w:val="28"/>
          <w:szCs w:val="28"/>
          <w:lang w:eastAsia="en-US"/>
        </w:rPr>
        <w:t xml:space="preserve">анспорту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О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Антропов</w:t>
      </w:r>
      <w:r>
        <w:rPr>
          <w:rFonts w:eastAsiaTheme="minorHAnsi"/>
          <w:sz w:val="28"/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851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3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8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8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70"/>
    <w:uiPriority w:val="99"/>
    <w:rPr>
      <w:sz w:val="18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662" w:customStyle="1">
    <w:name w:val="ConsPlusNormal Знак"/>
    <w:basedOn w:val="658"/>
    <w:link w:val="663"/>
    <w:rPr>
      <w:rFonts w:ascii="Times New Roman" w:hAnsi="Times New Roman" w:eastAsia="Times New Roman" w:cs="Times New Roman"/>
      <w:szCs w:val="20"/>
      <w:lang w:eastAsia="ru-RU"/>
    </w:rPr>
  </w:style>
  <w:style w:type="paragraph" w:styleId="663" w:customStyle="1">
    <w:name w:val="ConsPlusNormal"/>
    <w:link w:val="662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664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65">
    <w:name w:val="List Paragraph"/>
    <w:basedOn w:val="657"/>
    <w:uiPriority w:val="34"/>
    <w:qFormat/>
    <w:pPr>
      <w:contextualSpacing/>
      <w:ind w:left="720"/>
    </w:pPr>
  </w:style>
  <w:style w:type="character" w:styleId="666">
    <w:name w:val="Placeholder Text"/>
    <w:basedOn w:val="658"/>
    <w:uiPriority w:val="99"/>
    <w:semiHidden/>
    <w:rPr>
      <w:color w:val="808080"/>
    </w:rPr>
  </w:style>
  <w:style w:type="paragraph" w:styleId="667">
    <w:name w:val="Balloon Text"/>
    <w:basedOn w:val="657"/>
    <w:link w:val="668"/>
    <w:uiPriority w:val="99"/>
    <w:semiHidden/>
    <w:unhideWhenUsed/>
    <w:rPr>
      <w:rFonts w:ascii="Tahoma" w:hAnsi="Tahoma" w:cs="Tahoma"/>
      <w:sz w:val="16"/>
      <w:szCs w:val="16"/>
    </w:rPr>
  </w:style>
  <w:style w:type="character" w:styleId="668" w:customStyle="1">
    <w:name w:val="Текст выноски Знак"/>
    <w:basedOn w:val="658"/>
    <w:link w:val="667"/>
    <w:uiPriority w:val="99"/>
    <w:semiHidden/>
    <w:rPr>
      <w:rFonts w:ascii="Tahoma" w:hAnsi="Tahoma" w:eastAsia="Calibri" w:cs="Tahoma"/>
      <w:sz w:val="16"/>
      <w:szCs w:val="16"/>
      <w:lang w:eastAsia="ru-RU"/>
    </w:rPr>
  </w:style>
  <w:style w:type="table" w:styleId="669">
    <w:name w:val="Table Grid"/>
    <w:basedOn w:val="65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0">
    <w:name w:val="footnote text"/>
    <w:basedOn w:val="657"/>
    <w:link w:val="671"/>
    <w:uiPriority w:val="99"/>
    <w:semiHidden/>
    <w:unhideWhenUsed/>
    <w:rPr>
      <w:sz w:val="20"/>
      <w:szCs w:val="20"/>
    </w:rPr>
  </w:style>
  <w:style w:type="character" w:styleId="671" w:customStyle="1">
    <w:name w:val="Текст сноски Знак"/>
    <w:basedOn w:val="658"/>
    <w:link w:val="670"/>
    <w:uiPriority w:val="99"/>
    <w:semiHidden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72">
    <w:name w:val="footnote reference"/>
    <w:basedOn w:val="658"/>
    <w:uiPriority w:val="99"/>
    <w:semiHidden/>
    <w:unhideWhenUsed/>
    <w:rPr>
      <w:vertAlign w:val="superscript"/>
    </w:rPr>
  </w:style>
  <w:style w:type="paragraph" w:styleId="67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66AE-C7EB-444B-AF84-C2FE8EB8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Пугачева</dc:creator>
  <cp:lastModifiedBy>ma_egorchenkov</cp:lastModifiedBy>
  <cp:revision>3</cp:revision>
  <dcterms:created xsi:type="dcterms:W3CDTF">2026-06-01T12:11:00Z</dcterms:created>
  <dcterms:modified xsi:type="dcterms:W3CDTF">2026-06-02T08:26:49Z</dcterms:modified>
</cp:coreProperties>
</file>