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5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5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5"/>
        <w:jc w:val="center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sz w:val="28"/>
        </w:rPr>
        <w:t xml:space="preserve">к проекту постановления Правительства Ленинградской области «</w:t>
      </w:r>
      <w:r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19 апреля 2021 года № 203 «Об утвержде</w:t>
      </w:r>
      <w:r>
        <w:rPr>
          <w:b/>
          <w:sz w:val="28"/>
          <w:szCs w:val="28"/>
        </w:rPr>
        <w:t xml:space="preserve">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"Устойчивое общественное р</w:t>
      </w:r>
      <w:r>
        <w:rPr>
          <w:b/>
          <w:sz w:val="28"/>
          <w:szCs w:val="28"/>
        </w:rPr>
        <w:t xml:space="preserve">азвитие в Ленинградской области</w:t>
      </w:r>
      <w:r>
        <w:rPr>
          <w:b/>
          <w:color w:val="000000" w:themeColor="text1"/>
          <w:sz w:val="28"/>
          <w:szCs w:val="28"/>
        </w:rPr>
        <w:t xml:space="preserve">»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95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(далее – Постановление, проект акта)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Комитет общественных коммуникаций Ленинградской области предлагает  внести следующие изменения в Порядок предоставления грантов в форме субсидий из областного бюджета Ленинградской обл</w:t>
      </w:r>
      <w:r>
        <w:rPr>
          <w:rFonts w:ascii="Times New Roman" w:hAnsi="Times New Roman"/>
          <w:sz w:val="28"/>
          <w:szCs w:val="28"/>
          <w:lang w:eastAsia="en-US"/>
        </w:rPr>
        <w:t xml:space="preserve">асти социально ориентированным некоммерческим организациям на реализацию проектов в рамках государственной программы Ленинградской области «Устойчивое общественное развитие в Ленинградской области» (далее – Порядок), утвержденный постановлением Правительст</w:t>
      </w:r>
      <w:r>
        <w:rPr>
          <w:rFonts w:ascii="Times New Roman" w:hAnsi="Times New Roman"/>
          <w:sz w:val="28"/>
          <w:szCs w:val="28"/>
          <w:lang w:eastAsia="en-US"/>
        </w:rPr>
        <w:t xml:space="preserve">ва Ленинградской области от 19 апреля 2021 года №203: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Пункт 1.2 Порядка: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56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 xml:space="preserve">- предлагается Порядок дополнить направлением для проведения конкурсного отбора по проектам, посвященным 100-летию Ленинградской области (Указ Президента Российской Федерации от 8</w:t>
      </w:r>
      <w:r>
        <w:rPr>
          <w:rFonts w:ascii="Times New Roman" w:hAnsi="Times New Roman"/>
          <w:sz w:val="28"/>
          <w:szCs w:val="28"/>
          <w:lang w:eastAsia="en-US"/>
        </w:rPr>
        <w:t xml:space="preserve"> августа 2022 года № 527 «О праздновании 100-летия образования Ленинградской </w:t>
      </w:r>
      <w:commentRangeStart w:id="0"/>
      <w:r>
        <w:rPr>
          <w:rFonts w:ascii="Times New Roman" w:hAnsi="Times New Roman"/>
          <w:sz w:val="28"/>
          <w:szCs w:val="28"/>
          <w:lang w:eastAsia="en-US"/>
        </w:rPr>
        <w:t xml:space="preserve">области», </w:t>
      </w:r>
      <w:r>
        <w:rPr>
          <w:rFonts w:ascii="Times New Roman" w:hAnsi="Times New Roman"/>
          <w:sz w:val="28"/>
          <w:szCs w:val="28"/>
          <w:lang w:eastAsia="en-US"/>
        </w:rPr>
        <w:t xml:space="preserve">План основных </w:t>
      </w:r>
      <w:r>
        <w:rPr>
          <w:rFonts w:ascii="Times New Roman" w:hAnsi="Times New Roman"/>
          <w:sz w:val="28"/>
          <w:szCs w:val="28"/>
          <w:lang w:eastAsia="en-US"/>
        </w:rPr>
        <w:t xml:space="preserve">мероприятий по подготовке и проведению празднования 100-летия образования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Ленинградской области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).</w:t>
      </w:r>
      <w:commentRangeEnd w:id="0"/>
      <w:r>
        <w:commentReference w:id="0"/>
      </w: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ind w:firstLine="556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 xml:space="preserve"> - в связи с принятием Указа Президента Российской Федерации от 15.05.2026г. № 327 «О единых базовых мерах поддержки лиц, принимающих (принимавших) участие в специально</w:t>
      </w:r>
      <w:r>
        <w:rPr>
          <w:rFonts w:ascii="Times New Roman" w:hAnsi="Times New Roman"/>
          <w:sz w:val="28"/>
          <w:szCs w:val="28"/>
          <w:lang w:eastAsia="en-US"/>
        </w:rPr>
        <w:t xml:space="preserve">й военной операции, и других категорий лиц в субъектах Российской Федерации» (далее – Указ) предлагается уточнить направление, указанное в абзаце пятнадцатом пункта 1.2 Порядка, дополнив его в соответствии с подпунктом «д» пункта 4 Указа.</w:t>
      </w:r>
      <w:r/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подпункт 1 п</w:t>
      </w:r>
      <w:r>
        <w:rPr>
          <w:rFonts w:ascii="Times New Roman" w:hAnsi="Times New Roman"/>
          <w:sz w:val="28"/>
          <w:szCs w:val="28"/>
        </w:rPr>
        <w:t xml:space="preserve">ункта 1.3, пункт 1.10 Порядка изменения вносятся в связи с введением нового направления для проектов, посвященных празднованию 100-летия Ленинградской области.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Предлагается признать утратившими силу положения, указанные в подпункте «в» подпункта 1 пунк</w:t>
      </w:r>
      <w:r>
        <w:rPr>
          <w:rFonts w:ascii="Times New Roman" w:hAnsi="Times New Roman"/>
          <w:sz w:val="28"/>
          <w:szCs w:val="28"/>
        </w:rPr>
        <w:t xml:space="preserve">та 1.3, пункте 1.9, абзаце третьем пункта 1.10 Порядка, касающиеся специального конкурсного отбора для проектов социально ориентированных некоммерческих организаций (далее - СОНКО)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чредителями или руководителями </w:t>
      </w:r>
      <w:r>
        <w:rPr>
          <w:rFonts w:ascii="Times New Roman" w:hAnsi="Times New Roman"/>
          <w:sz w:val="28"/>
          <w:szCs w:val="28"/>
        </w:rPr>
        <w:t xml:space="preserve">которых являются участники специальной вое</w:t>
      </w:r>
      <w:r>
        <w:rPr>
          <w:rFonts w:ascii="Times New Roman" w:hAnsi="Times New Roman"/>
          <w:sz w:val="28"/>
          <w:szCs w:val="28"/>
        </w:rPr>
        <w:t xml:space="preserve">нной операции (далее – СВО) и члены их семей. Конкурс был введен в 2025 году в связи с тем, что участники СВО прошли обучение по основам социального проектирования в некоммерческой сфере, при этом все конкурсные отборы на получение гранта Губернатора Ленин</w:t>
      </w:r>
      <w:r>
        <w:rPr>
          <w:rFonts w:ascii="Times New Roman" w:hAnsi="Times New Roman"/>
          <w:sz w:val="28"/>
          <w:szCs w:val="28"/>
        </w:rPr>
        <w:t xml:space="preserve">градской области для СОНКО были уже проведены, для предоставления возможности таким участникам СВО реализовать свои проекты был введен такой специальный отбор. В настоящее время участники СВО и члены их семей могут подавать заявки на участие в любом конкур</w:t>
      </w:r>
      <w:r>
        <w:rPr>
          <w:rFonts w:ascii="Times New Roman" w:hAnsi="Times New Roman"/>
          <w:sz w:val="28"/>
          <w:szCs w:val="28"/>
        </w:rPr>
        <w:t xml:space="preserve">сном отборе по любому направлению, предоставив необходимые документы, подтверждающие </w:t>
      </w:r>
      <w:r>
        <w:rPr>
          <w:rFonts w:ascii="Times New Roman" w:hAnsi="Times New Roman"/>
          <w:sz w:val="28"/>
          <w:szCs w:val="28"/>
        </w:rPr>
        <w:t xml:space="preserve">их статус, для применения повышающего коэффициента к заявке в соответствии с пунктом 2.22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Требование, указанное в абзаце одиннадцатом пункта 2.3 </w:t>
      </w:r>
      <w:r>
        <w:rPr>
          <w:rFonts w:ascii="Times New Roman" w:hAnsi="Times New Roman"/>
          <w:sz w:val="28"/>
          <w:szCs w:val="28"/>
        </w:rPr>
        <w:t xml:space="preserve">Порядка, не является обязательным в соответствии с постановлением Правительства РФ от 25.10.2023 № 1782 и было внесено Комитетом как дополнительное. Принимая во внимание значимость тематического конкурсного отбора, посвященного 100-летию Ленингра</w:t>
      </w:r>
      <w:r>
        <w:rPr>
          <w:rFonts w:ascii="Times New Roman" w:hAnsi="Times New Roman"/>
          <w:sz w:val="28"/>
          <w:szCs w:val="28"/>
        </w:rPr>
        <w:t xml:space="preserve">дской области, учитывая опыт СОНКО, которые реализовали проекты </w:t>
      </w:r>
      <w:r>
        <w:rPr>
          <w:rFonts w:ascii="Times New Roman" w:hAnsi="Times New Roman"/>
          <w:sz w:val="28"/>
          <w:szCs w:val="28"/>
        </w:rPr>
        <w:t xml:space="preserve">в текущем году, не распространение на них данного требования позволит усилить конкуренцию среди участников отбора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Необходимо отметить, что предлагаемое изменение не позволит принять участие в отборе участникам, которые имеют действующие (незавершенные проекты), поскольку действует требование, установленное в </w:t>
      </w:r>
      <w:r>
        <w:rPr>
          <w:rFonts w:ascii="Times New Roman" w:hAnsi="Times New Roman"/>
          <w:sz w:val="28"/>
          <w:szCs w:val="28"/>
        </w:rPr>
        <w:t xml:space="preserve">абзаце</w:t>
      </w:r>
      <w:r>
        <w:rPr>
          <w:rFonts w:ascii="Times New Roman" w:hAnsi="Times New Roman"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</w:rPr>
        <w:t xml:space="preserve">пункта 2.3 </w:t>
      </w:r>
      <w:r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отсутс</w:t>
      </w:r>
      <w:r>
        <w:rPr>
          <w:rFonts w:ascii="Times New Roman" w:hAnsi="Times New Roman"/>
          <w:sz w:val="28"/>
          <w:szCs w:val="28"/>
        </w:rPr>
        <w:t xml:space="preserve">твие у участника отбора соглашения на предоставление субсидии, заключенное с Комитетом в соответствии с Порядком или иным нормативным правовым актом Ленинградской области, по которому срок реализации проекта не завершен и(или) по которому имеется неисполне</w:t>
      </w:r>
      <w:r>
        <w:rPr>
          <w:rFonts w:ascii="Times New Roman" w:hAnsi="Times New Roman"/>
          <w:sz w:val="28"/>
          <w:szCs w:val="28"/>
        </w:rPr>
        <w:t xml:space="preserve">нная обязанно</w:t>
      </w:r>
      <w:r>
        <w:rPr>
          <w:rFonts w:ascii="Times New Roman" w:hAnsi="Times New Roman"/>
          <w:sz w:val="28"/>
          <w:szCs w:val="28"/>
        </w:rPr>
        <w:t xml:space="preserve">сть по представлению отчетности).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В пункт 2.4 Поряд</w:t>
      </w:r>
      <w:r>
        <w:rPr>
          <w:rFonts w:ascii="Times New Roman" w:hAnsi="Times New Roman"/>
          <w:sz w:val="28"/>
          <w:szCs w:val="28"/>
        </w:rPr>
        <w:t xml:space="preserve">ка вносятся изменения в</w:t>
      </w:r>
      <w:r>
        <w:rPr>
          <w:rFonts w:ascii="Times New Roman" w:hAnsi="Times New Roman"/>
          <w:sz w:val="28"/>
          <w:szCs w:val="28"/>
        </w:rPr>
        <w:t xml:space="preserve"> целях сохранения перечня документов, подтверждающих право на применение повышающего коэффициента</w:t>
      </w:r>
      <w:r>
        <w:rPr>
          <w:rFonts w:ascii="Times New Roman" w:hAnsi="Times New Roman"/>
          <w:sz w:val="28"/>
          <w:szCs w:val="28"/>
        </w:rPr>
        <w:t xml:space="preserve"> для участников СВО и членов их семей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Изменения в пункт 2.20 Порядка, пункты 2.4 и 2.6 приложения 2 к Порядку вносятся с целью введения дополнительных критериев оценки и</w:t>
      </w:r>
      <w:r>
        <w:rPr>
          <w:rFonts w:ascii="Times New Roman" w:hAnsi="Times New Roman"/>
          <w:sz w:val="28"/>
          <w:szCs w:val="28"/>
        </w:rPr>
        <w:t xml:space="preserve"> их весового значения для проектов по направлению «гражданственность (проекты, посвященные празднованию 100-летия Ленинградской области»). Введение отдельных критериев обусловлено особой значимостью и особенность данного конкурса – проекты, посвященные 100</w:t>
      </w:r>
      <w:r>
        <w:rPr>
          <w:rFonts w:ascii="Times New Roman" w:hAnsi="Times New Roman"/>
          <w:sz w:val="28"/>
          <w:szCs w:val="28"/>
        </w:rPr>
        <w:t xml:space="preserve">-летию Ленинградской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абзац двенадцатый пункта 3.1 Порядка предлагается</w:t>
      </w:r>
      <w:r>
        <w:rPr>
          <w:rFonts w:ascii="Times New Roman" w:hAnsi="Times New Roman"/>
          <w:sz w:val="28"/>
          <w:szCs w:val="28"/>
        </w:rPr>
        <w:t xml:space="preserve"> добавить дополнительный хештег. Д</w:t>
      </w:r>
      <w:r>
        <w:rPr>
          <w:rFonts w:ascii="Times New Roman" w:hAnsi="Times New Roman"/>
          <w:sz w:val="28"/>
          <w:szCs w:val="28"/>
        </w:rPr>
        <w:t xml:space="preserve">анное изменение направлено на обеспечение единого информационного сопровождения проектов, связанных с юбилейной тематикой Ленинградской об</w:t>
      </w:r>
      <w:r>
        <w:rPr>
          <w:rFonts w:ascii="Times New Roman" w:hAnsi="Times New Roman"/>
          <w:sz w:val="28"/>
          <w:szCs w:val="28"/>
        </w:rPr>
        <w:t xml:space="preserve">ласти. Использование дополнительного хештега позволит повысить узнаваемость проектов, реализуемых в рамках указанного направления.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Добавление нового абзаца в пункт 3.1 Порядка и признание утратившим силу подпункт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3 пункта 4.2 Порядка связано с необходимост</w:t>
      </w:r>
      <w:r>
        <w:rPr>
          <w:rFonts w:ascii="Times New Roman" w:hAnsi="Times New Roman"/>
          <w:sz w:val="28"/>
          <w:szCs w:val="28"/>
        </w:rPr>
        <w:t xml:space="preserve">ью  приведения в соответствие с приказом Минфина России от 30.11.2021 № 199н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</w:t>
      </w:r>
      <w:r>
        <w:rPr>
          <w:rFonts w:ascii="Times New Roman" w:hAnsi="Times New Roman"/>
          <w:sz w:val="28"/>
          <w:szCs w:val="28"/>
        </w:rPr>
        <w:t xml:space="preserve">принимателям, а также физическим лицам». Согласно пункту 4.1.12. утвержденной Типовой формы по окончании </w:t>
      </w:r>
      <w:r>
        <w:rPr>
          <w:rFonts w:ascii="Times New Roman" w:hAnsi="Times New Roman"/>
          <w:sz w:val="28"/>
          <w:szCs w:val="28"/>
        </w:rPr>
        <w:t xml:space="preserve">срока действия соглашения после принятия всех установленных соглашением отчетов предоставитель субсидии направляет получателю акт об исполнении обязате</w:t>
      </w:r>
      <w:r>
        <w:rPr>
          <w:rFonts w:ascii="Times New Roman" w:hAnsi="Times New Roman"/>
          <w:sz w:val="28"/>
          <w:szCs w:val="28"/>
        </w:rPr>
        <w:t xml:space="preserve">льств.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9.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С учетом практики реализации проектов, в целях увеличения количества проектов СОНКО, получающих поддержку, предлагается внести изменения в пункт 3.3 Порядка.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56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Практика предоставления грантовой поддержки Комитетом показала, что установление максимальных размеров грантовой поддержки по направлениям в предлагаемом в проект размере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(уменьшить с 3 млн рублей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д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о 2 млн рублей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 и по двум направлениям (см проект) с 4 до 3 млн рублей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)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не приведет к снижению качества проекта и позволит стимулировать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СО НКО на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вовлечение в проект партнеров, бизнеса, волонтеров, тем самым способствовать развитию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благотворительности, волонтерства (добровольчества).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Предлагаемый к установлению максимальный размер по </w:t>
      </w:r>
      <w:r>
        <w:rPr>
          <w:rFonts w:ascii="Times New Roman" w:hAnsi="Times New Roman"/>
          <w:sz w:val="28"/>
          <w:szCs w:val="28"/>
        </w:rPr>
        <w:t xml:space="preserve">направлению «гражданственность (проекты, посвященные празднованию 10</w:t>
      </w:r>
      <w:r>
        <w:rPr>
          <w:rFonts w:ascii="Times New Roman" w:hAnsi="Times New Roman"/>
          <w:sz w:val="28"/>
          <w:szCs w:val="28"/>
        </w:rPr>
        <w:t xml:space="preserve">0-летия Ленинградской области») – 6 млн рублей ранее был представлен в докладе и согласован губернатором Ленинградской области А.Ю. Дрозденко (доклад прилагается).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Дата вступления постановления в силу определена с учетом того, что в настоящее время Комитетом объявлен</w:t>
      </w:r>
      <w:r>
        <w:rPr>
          <w:rFonts w:ascii="Times New Roman" w:hAnsi="Times New Roman"/>
          <w:sz w:val="28"/>
          <w:szCs w:val="28"/>
          <w:highlight w:val="white"/>
        </w:rPr>
        <w:t xml:space="preserve"> конкурсный </w:t>
      </w:r>
      <w:r>
        <w:rPr>
          <w:rFonts w:ascii="Times New Roman" w:hAnsi="Times New Roman"/>
          <w:sz w:val="28"/>
          <w:szCs w:val="28"/>
        </w:rPr>
        <w:t xml:space="preserve">отбор на получение грантов Губернатора Ленинградской области, заключение соглашений по ре</w:t>
      </w:r>
      <w:r>
        <w:rPr>
          <w:rFonts w:ascii="Times New Roman" w:hAnsi="Times New Roman"/>
          <w:sz w:val="28"/>
          <w:szCs w:val="28"/>
        </w:rPr>
        <w:t xml:space="preserve">зультатам которого завершится до 31.08.2026г. Новые положения Порядка предлагается распространить с 01.0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.2026 г., т.е. на следующие отборы.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</w:rPr>
        <w:t xml:space="preserve">В отношении проекта акта не требуется проведения процедуры оценки регулирующего воздействия, в связи с тем, что про</w:t>
      </w:r>
      <w:r>
        <w:rPr>
          <w:rFonts w:ascii="Times New Roman" w:hAnsi="Times New Roman"/>
          <w:sz w:val="28"/>
          <w:szCs w:val="28"/>
        </w:rPr>
        <w:t xml:space="preserve">ект акта не содержит положения, определенные в части 1 статье 2 областного закона Ленинградской области от 16.02.2015 № 5-оз «О проведении оценки регулирующего воздействия проектов нормативных правовых актов Ленинградской области и экспертизы нормативных п</w:t>
      </w:r>
      <w:r>
        <w:rPr>
          <w:rFonts w:ascii="Times New Roman" w:hAnsi="Times New Roman"/>
          <w:sz w:val="28"/>
          <w:szCs w:val="28"/>
        </w:rPr>
        <w:t xml:space="preserve">равовых актов Ленинградской области».  </w:t>
      </w:r>
      <w:r/>
    </w:p>
    <w:p>
      <w:pPr>
        <w:ind w:firstLine="567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ind w:firstLine="567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</w:rPr>
        <w:t xml:space="preserve">Приложение: по тексту на 14 л.</w:t>
      </w:r>
      <w:r/>
    </w:p>
    <w:p>
      <w:pPr>
        <w:ind w:firstLine="567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ind w:firstLine="567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/>
          <w:sz w:val="28"/>
          <w:szCs w:val="28"/>
        </w:rPr>
        <w:t xml:space="preserve">общественных коммуникаций</w:t>
      </w:r>
      <w:r/>
    </w:p>
    <w:p>
      <w:pPr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   Е.Е. Путронен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Гарифулина Ольга Николаевна" w:date="2026-07-03T13:54:00Z" w:initials="ГОН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Добавьте указание на план (который в письме Данилюк)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E39337" w16cex:dateUtc="2026-07-03T10:5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E393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рифулина Ольга Николаевна">
    <w15:presenceInfo w15:providerId="Teamlab" w15:userId="S-1-5-21-540365812-746640119-474720973-21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9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60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61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8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9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670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3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676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7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678" w:default="1">
    <w:name w:val="Normal"/>
    <w:link w:val="854"/>
    <w:qFormat/>
    <w:pPr>
      <w:spacing w:after="160" w:line="252" w:lineRule="auto"/>
    </w:pPr>
  </w:style>
  <w:style w:type="paragraph" w:styleId="679">
    <w:name w:val="Heading 1"/>
    <w:next w:val="678"/>
    <w:link w:val="87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0">
    <w:name w:val="Heading 2"/>
    <w:next w:val="678"/>
    <w:link w:val="89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1">
    <w:name w:val="Heading 3"/>
    <w:next w:val="678"/>
    <w:link w:val="86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2">
    <w:name w:val="Heading 4"/>
    <w:next w:val="678"/>
    <w:link w:val="89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3">
    <w:name w:val="Heading 5"/>
    <w:next w:val="678"/>
    <w:link w:val="87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84">
    <w:name w:val="Heading 6"/>
    <w:basedOn w:val="678"/>
    <w:next w:val="67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85">
    <w:name w:val="Heading 7"/>
    <w:basedOn w:val="678"/>
    <w:next w:val="67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86">
    <w:name w:val="Heading 8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87">
    <w:name w:val="Heading 9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8"/>
    <w:uiPriority w:val="99"/>
  </w:style>
  <w:style w:type="character" w:styleId="698" w:customStyle="1">
    <w:name w:val="Footer Char"/>
    <w:basedOn w:val="688"/>
    <w:uiPriority w:val="99"/>
  </w:style>
  <w:style w:type="character" w:styleId="699" w:customStyle="1">
    <w:name w:val="Caption Char"/>
    <w:basedOn w:val="688"/>
    <w:uiPriority w:val="35"/>
    <w:rPr>
      <w:b/>
      <w:bCs/>
      <w:color w:val="4f81bd" w:themeColor="accent1"/>
      <w:sz w:val="18"/>
      <w:szCs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character" w:styleId="711" w:customStyle="1">
    <w:name w:val="Title Char"/>
    <w:basedOn w:val="688"/>
    <w:uiPriority w:val="10"/>
    <w:rPr>
      <w:sz w:val="48"/>
      <w:szCs w:val="48"/>
    </w:rPr>
  </w:style>
  <w:style w:type="character" w:styleId="712" w:customStyle="1">
    <w:name w:val="Subtitle Char"/>
    <w:basedOn w:val="688"/>
    <w:uiPriority w:val="11"/>
    <w:rPr>
      <w:sz w:val="24"/>
      <w:szCs w:val="24"/>
    </w:rPr>
  </w:style>
  <w:style w:type="paragraph" w:styleId="713">
    <w:name w:val="Quote"/>
    <w:basedOn w:val="678"/>
    <w:next w:val="678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78"/>
    <w:next w:val="678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78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basedOn w:val="688"/>
    <w:link w:val="717"/>
    <w:uiPriority w:val="99"/>
  </w:style>
  <w:style w:type="paragraph" w:styleId="719">
    <w:name w:val="Footer"/>
    <w:basedOn w:val="678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Нижний колонтитул Знак"/>
    <w:basedOn w:val="688"/>
    <w:link w:val="719"/>
    <w:uiPriority w:val="99"/>
  </w:style>
  <w:style w:type="paragraph" w:styleId="721">
    <w:name w:val="Caption"/>
    <w:basedOn w:val="678"/>
    <w:next w:val="678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 w:customStyle="1">
    <w:name w:val="Название объекта Знак"/>
    <w:basedOn w:val="688"/>
    <w:link w:val="721"/>
    <w:uiPriority w:val="35"/>
    <w:rPr>
      <w:b/>
      <w:bCs/>
      <w:color w:val="4f81bd" w:themeColor="accent1"/>
      <w:sz w:val="18"/>
      <w:szCs w:val="18"/>
    </w:rPr>
  </w:style>
  <w:style w:type="table" w:styleId="723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 w:customStyle="1">
    <w:name w:val="Таблица простая 1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Таблица простая 21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3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Таблица простая 4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а простая 5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Таблица-сетка 1 светл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Таблица-сетк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4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Таблица-сетк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Таблица-сетк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Таблица-сетк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Список-таблица 1 светлая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Список-таблиц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Список-таблиц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Список-таблица 4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Список-таблиц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Список-таблиц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 w:customStyle="1">
    <w:name w:val="Footnote Text Char"/>
    <w:uiPriority w:val="99"/>
    <w:rPr>
      <w:sz w:val="18"/>
    </w:rPr>
  </w:style>
  <w:style w:type="paragraph" w:styleId="849">
    <w:name w:val="endnote text"/>
    <w:basedOn w:val="678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8"/>
    <w:uiPriority w:val="99"/>
    <w:semiHidden/>
    <w:unhideWhenUsed/>
    <w:rPr>
      <w:vertAlign w:val="superscript"/>
    </w:rPr>
  </w:style>
  <w:style w:type="paragraph" w:styleId="852">
    <w:name w:val="TOC Heading"/>
    <w:uiPriority w:val="39"/>
    <w:unhideWhenUsed/>
  </w:style>
  <w:style w:type="paragraph" w:styleId="853">
    <w:name w:val="table of figures"/>
    <w:basedOn w:val="678"/>
    <w:next w:val="678"/>
    <w:uiPriority w:val="99"/>
    <w:unhideWhenUsed/>
    <w:pPr>
      <w:spacing w:after="0"/>
    </w:pPr>
  </w:style>
  <w:style w:type="character" w:styleId="854" w:customStyle="1">
    <w:name w:val="Обычный1"/>
  </w:style>
  <w:style w:type="paragraph" w:styleId="855">
    <w:name w:val="toc 2"/>
    <w:next w:val="678"/>
    <w:link w:val="856"/>
    <w:uiPriority w:val="39"/>
    <w:pPr>
      <w:ind w:left="200"/>
    </w:pPr>
    <w:rPr>
      <w:rFonts w:ascii="XO Thames" w:hAnsi="XO Thames"/>
      <w:sz w:val="28"/>
    </w:rPr>
  </w:style>
  <w:style w:type="character" w:styleId="856" w:customStyle="1">
    <w:name w:val="Оглавление 2 Знак"/>
    <w:link w:val="855"/>
    <w:rPr>
      <w:rFonts w:ascii="XO Thames" w:hAnsi="XO Thames"/>
      <w:sz w:val="28"/>
    </w:rPr>
  </w:style>
  <w:style w:type="paragraph" w:styleId="857">
    <w:name w:val="toc 4"/>
    <w:next w:val="678"/>
    <w:link w:val="858"/>
    <w:uiPriority w:val="39"/>
    <w:pPr>
      <w:ind w:left="600"/>
    </w:pPr>
    <w:rPr>
      <w:rFonts w:ascii="XO Thames" w:hAnsi="XO Thames"/>
      <w:sz w:val="28"/>
    </w:rPr>
  </w:style>
  <w:style w:type="character" w:styleId="858" w:customStyle="1">
    <w:name w:val="Оглавление 4 Знак"/>
    <w:link w:val="857"/>
    <w:rPr>
      <w:rFonts w:ascii="XO Thames" w:hAnsi="XO Thames"/>
      <w:sz w:val="28"/>
    </w:rPr>
  </w:style>
  <w:style w:type="paragraph" w:styleId="859">
    <w:name w:val="toc 6"/>
    <w:next w:val="678"/>
    <w:link w:val="860"/>
    <w:uiPriority w:val="39"/>
    <w:pPr>
      <w:ind w:left="1000"/>
    </w:pPr>
    <w:rPr>
      <w:rFonts w:ascii="XO Thames" w:hAnsi="XO Thames"/>
      <w:sz w:val="28"/>
    </w:rPr>
  </w:style>
  <w:style w:type="character" w:styleId="860" w:customStyle="1">
    <w:name w:val="Оглавление 6 Знак"/>
    <w:link w:val="859"/>
    <w:rPr>
      <w:rFonts w:ascii="XO Thames" w:hAnsi="XO Thames"/>
      <w:sz w:val="28"/>
    </w:rPr>
  </w:style>
  <w:style w:type="paragraph" w:styleId="861">
    <w:name w:val="toc 7"/>
    <w:next w:val="678"/>
    <w:link w:val="862"/>
    <w:uiPriority w:val="39"/>
    <w:pPr>
      <w:ind w:left="1200"/>
    </w:pPr>
    <w:rPr>
      <w:rFonts w:ascii="XO Thames" w:hAnsi="XO Thames"/>
      <w:sz w:val="28"/>
    </w:rPr>
  </w:style>
  <w:style w:type="character" w:styleId="862" w:customStyle="1">
    <w:name w:val="Оглавление 7 Знак"/>
    <w:link w:val="861"/>
    <w:rPr>
      <w:rFonts w:ascii="XO Thames" w:hAnsi="XO Thames"/>
      <w:sz w:val="28"/>
    </w:rPr>
  </w:style>
  <w:style w:type="paragraph" w:styleId="863" w:customStyle="1">
    <w:name w:val="ConsPlusNormal"/>
    <w:link w:val="864"/>
    <w:pPr>
      <w:spacing w:after="0" w:line="240" w:lineRule="auto"/>
      <w:widowControl w:val="off"/>
    </w:pPr>
    <w:rPr>
      <w:rFonts w:ascii="Calibri" w:hAnsi="Calibri"/>
    </w:rPr>
  </w:style>
  <w:style w:type="character" w:styleId="864" w:customStyle="1">
    <w:name w:val="ConsPlusNormal"/>
    <w:link w:val="863"/>
    <w:rPr>
      <w:rFonts w:ascii="Calibri" w:hAnsi="Calibri"/>
    </w:rPr>
  </w:style>
  <w:style w:type="character" w:styleId="865" w:customStyle="1">
    <w:name w:val="Заголовок 3 Знак"/>
    <w:link w:val="681"/>
    <w:rPr>
      <w:rFonts w:ascii="XO Thames" w:hAnsi="XO Thames"/>
      <w:b/>
      <w:sz w:val="26"/>
    </w:rPr>
  </w:style>
  <w:style w:type="paragraph" w:styleId="866">
    <w:name w:val="Balloon Text"/>
    <w:basedOn w:val="678"/>
    <w:link w:val="867"/>
    <w:pPr>
      <w:spacing w:after="0" w:line="240" w:lineRule="auto"/>
    </w:pPr>
    <w:rPr>
      <w:rFonts w:ascii="Segoe UI" w:hAnsi="Segoe UI"/>
      <w:sz w:val="18"/>
    </w:rPr>
  </w:style>
  <w:style w:type="character" w:styleId="867" w:customStyle="1">
    <w:name w:val="Текст выноски Знак"/>
    <w:basedOn w:val="854"/>
    <w:link w:val="866"/>
    <w:rPr>
      <w:rFonts w:ascii="Segoe UI" w:hAnsi="Segoe UI"/>
      <w:sz w:val="18"/>
    </w:rPr>
  </w:style>
  <w:style w:type="paragraph" w:styleId="868">
    <w:name w:val="toc 3"/>
    <w:next w:val="678"/>
    <w:link w:val="869"/>
    <w:uiPriority w:val="39"/>
    <w:pPr>
      <w:ind w:left="400"/>
    </w:pPr>
    <w:rPr>
      <w:rFonts w:ascii="XO Thames" w:hAnsi="XO Thames"/>
      <w:sz w:val="28"/>
    </w:rPr>
  </w:style>
  <w:style w:type="character" w:styleId="869" w:customStyle="1">
    <w:name w:val="Оглавление 3 Знак"/>
    <w:link w:val="868"/>
    <w:rPr>
      <w:rFonts w:ascii="XO Thames" w:hAnsi="XO Thames"/>
      <w:sz w:val="28"/>
    </w:rPr>
  </w:style>
  <w:style w:type="character" w:styleId="870" w:customStyle="1">
    <w:name w:val="Заголовок 5 Знак"/>
    <w:link w:val="683"/>
    <w:rPr>
      <w:rFonts w:ascii="XO Thames" w:hAnsi="XO Thames"/>
      <w:b/>
      <w:sz w:val="22"/>
    </w:rPr>
  </w:style>
  <w:style w:type="character" w:styleId="871" w:customStyle="1">
    <w:name w:val="Заголовок 1 Знак"/>
    <w:link w:val="679"/>
    <w:rPr>
      <w:rFonts w:ascii="XO Thames" w:hAnsi="XO Thames"/>
      <w:b/>
      <w:sz w:val="32"/>
    </w:rPr>
  </w:style>
  <w:style w:type="paragraph" w:styleId="872" w:customStyle="1">
    <w:name w:val="Гиперссылка1"/>
    <w:link w:val="873"/>
    <w:rPr>
      <w:color w:val="0000ff"/>
      <w:u w:val="single"/>
    </w:rPr>
  </w:style>
  <w:style w:type="character" w:styleId="873">
    <w:name w:val="Hyperlink"/>
    <w:link w:val="872"/>
    <w:rPr>
      <w:color w:val="0000ff"/>
      <w:u w:val="single"/>
    </w:rPr>
  </w:style>
  <w:style w:type="paragraph" w:styleId="874" w:customStyle="1">
    <w:name w:val="Footnote"/>
    <w:link w:val="875"/>
    <w:pPr>
      <w:ind w:firstLine="851"/>
      <w:jc w:val="both"/>
    </w:pPr>
    <w:rPr>
      <w:rFonts w:ascii="XO Thames" w:hAnsi="XO Thames"/>
    </w:rPr>
  </w:style>
  <w:style w:type="character" w:styleId="875" w:customStyle="1">
    <w:name w:val="Footnote"/>
    <w:link w:val="874"/>
    <w:rPr>
      <w:rFonts w:ascii="XO Thames" w:hAnsi="XO Thames"/>
      <w:sz w:val="22"/>
    </w:rPr>
  </w:style>
  <w:style w:type="paragraph" w:styleId="876">
    <w:name w:val="toc 1"/>
    <w:next w:val="678"/>
    <w:link w:val="877"/>
    <w:uiPriority w:val="39"/>
    <w:rPr>
      <w:rFonts w:ascii="XO Thames" w:hAnsi="XO Thames"/>
      <w:b/>
      <w:sz w:val="28"/>
    </w:rPr>
  </w:style>
  <w:style w:type="character" w:styleId="877" w:customStyle="1">
    <w:name w:val="Оглавление 1 Знак"/>
    <w:link w:val="876"/>
    <w:rPr>
      <w:rFonts w:ascii="XO Thames" w:hAnsi="XO Thames"/>
      <w:b/>
      <w:sz w:val="28"/>
    </w:rPr>
  </w:style>
  <w:style w:type="paragraph" w:styleId="878" w:customStyle="1">
    <w:name w:val="Header and Footer"/>
    <w:link w:val="879"/>
    <w:pPr>
      <w:jc w:val="both"/>
      <w:spacing w:line="240" w:lineRule="auto"/>
    </w:pPr>
    <w:rPr>
      <w:rFonts w:ascii="XO Thames" w:hAnsi="XO Thames"/>
      <w:sz w:val="20"/>
    </w:rPr>
  </w:style>
  <w:style w:type="character" w:styleId="879" w:customStyle="1">
    <w:name w:val="Header and Footer"/>
    <w:link w:val="878"/>
    <w:rPr>
      <w:rFonts w:ascii="XO Thames" w:hAnsi="XO Thames"/>
      <w:sz w:val="20"/>
    </w:rPr>
  </w:style>
  <w:style w:type="paragraph" w:styleId="880">
    <w:name w:val="toc 9"/>
    <w:next w:val="678"/>
    <w:link w:val="881"/>
    <w:uiPriority w:val="39"/>
    <w:pPr>
      <w:ind w:left="1600"/>
    </w:pPr>
    <w:rPr>
      <w:rFonts w:ascii="XO Thames" w:hAnsi="XO Thames"/>
      <w:sz w:val="28"/>
    </w:rPr>
  </w:style>
  <w:style w:type="character" w:styleId="881" w:customStyle="1">
    <w:name w:val="Оглавление 9 Знак"/>
    <w:link w:val="880"/>
    <w:rPr>
      <w:rFonts w:ascii="XO Thames" w:hAnsi="XO Thames"/>
      <w:sz w:val="28"/>
    </w:rPr>
  </w:style>
  <w:style w:type="paragraph" w:styleId="882">
    <w:name w:val="toc 8"/>
    <w:next w:val="678"/>
    <w:link w:val="883"/>
    <w:uiPriority w:val="39"/>
    <w:pPr>
      <w:ind w:left="1400"/>
    </w:pPr>
    <w:rPr>
      <w:rFonts w:ascii="XO Thames" w:hAnsi="XO Thames"/>
      <w:sz w:val="28"/>
    </w:rPr>
  </w:style>
  <w:style w:type="character" w:styleId="883" w:customStyle="1">
    <w:name w:val="Оглавление 8 Знак"/>
    <w:link w:val="882"/>
    <w:rPr>
      <w:rFonts w:ascii="XO Thames" w:hAnsi="XO Thames"/>
      <w:sz w:val="28"/>
    </w:rPr>
  </w:style>
  <w:style w:type="paragraph" w:styleId="884" w:customStyle="1">
    <w:name w:val="Основной шрифт абзаца1"/>
  </w:style>
  <w:style w:type="paragraph" w:styleId="885">
    <w:name w:val="toc 5"/>
    <w:next w:val="678"/>
    <w:link w:val="886"/>
    <w:uiPriority w:val="39"/>
    <w:pPr>
      <w:ind w:left="800"/>
    </w:pPr>
    <w:rPr>
      <w:rFonts w:ascii="XO Thames" w:hAnsi="XO Thames"/>
      <w:sz w:val="28"/>
    </w:rPr>
  </w:style>
  <w:style w:type="character" w:styleId="886" w:customStyle="1">
    <w:name w:val="Оглавление 5 Знак"/>
    <w:link w:val="885"/>
    <w:rPr>
      <w:rFonts w:ascii="XO Thames" w:hAnsi="XO Thames"/>
      <w:sz w:val="28"/>
    </w:rPr>
  </w:style>
  <w:style w:type="paragraph" w:styleId="887">
    <w:name w:val="Subtitle"/>
    <w:next w:val="678"/>
    <w:link w:val="88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8" w:customStyle="1">
    <w:name w:val="Подзаголовок Знак"/>
    <w:link w:val="887"/>
    <w:rPr>
      <w:rFonts w:ascii="XO Thames" w:hAnsi="XO Thames"/>
      <w:i/>
      <w:sz w:val="24"/>
    </w:rPr>
  </w:style>
  <w:style w:type="paragraph" w:styleId="889">
    <w:name w:val="Title"/>
    <w:next w:val="678"/>
    <w:link w:val="89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0" w:customStyle="1">
    <w:name w:val="Название Знак"/>
    <w:link w:val="889"/>
    <w:rPr>
      <w:rFonts w:ascii="XO Thames" w:hAnsi="XO Thames"/>
      <w:b/>
      <w:caps/>
      <w:sz w:val="40"/>
    </w:rPr>
  </w:style>
  <w:style w:type="character" w:styleId="891" w:customStyle="1">
    <w:name w:val="Заголовок 4 Знак"/>
    <w:link w:val="682"/>
    <w:rPr>
      <w:rFonts w:ascii="XO Thames" w:hAnsi="XO Thames"/>
      <w:b/>
      <w:sz w:val="24"/>
    </w:rPr>
  </w:style>
  <w:style w:type="character" w:styleId="892" w:customStyle="1">
    <w:name w:val="Заголовок 2 Знак"/>
    <w:link w:val="680"/>
    <w:rPr>
      <w:rFonts w:ascii="XO Thames" w:hAnsi="XO Thames"/>
      <w:b/>
      <w:sz w:val="28"/>
    </w:rPr>
  </w:style>
  <w:style w:type="paragraph" w:styleId="893">
    <w:name w:val="List Paragraph"/>
    <w:basedOn w:val="678"/>
    <w:uiPriority w:val="34"/>
    <w:qFormat/>
    <w:pPr>
      <w:contextualSpacing/>
      <w:ind w:left="720"/>
    </w:pPr>
  </w:style>
  <w:style w:type="paragraph" w:styleId="894" w:customStyle="1">
    <w:name w:val="Pro-Gramma"/>
    <w:basedOn w:val="678"/>
    <w:pPr>
      <w:ind w:left="1134"/>
      <w:jc w:val="both"/>
      <w:spacing w:before="120" w:after="0" w:line="288" w:lineRule="auto"/>
    </w:pPr>
    <w:rPr>
      <w:rFonts w:ascii="Georgia" w:hAnsi="Georgia"/>
      <w:color w:val="auto"/>
      <w:sz w:val="20"/>
      <w:szCs w:val="24"/>
    </w:rPr>
  </w:style>
  <w:style w:type="paragraph" w:styleId="895">
    <w:name w:val="Normal (Web)"/>
    <w:basedOn w:val="678"/>
    <w:uiPriority w:val="99"/>
    <w:unhideWhenUsed/>
    <w:rPr>
      <w:rFonts w:ascii="Times New Roman" w:hAnsi="Times New Roman"/>
      <w:sz w:val="24"/>
      <w:szCs w:val="24"/>
    </w:rPr>
  </w:style>
  <w:style w:type="table" w:styleId="896">
    <w:name w:val="Table Grid"/>
    <w:basedOn w:val="6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footnote text"/>
    <w:basedOn w:val="678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сноски Знак"/>
    <w:basedOn w:val="688"/>
    <w:link w:val="897"/>
    <w:uiPriority w:val="99"/>
    <w:semiHidden/>
    <w:rPr>
      <w:sz w:val="20"/>
    </w:rPr>
  </w:style>
  <w:style w:type="character" w:styleId="899">
    <w:name w:val="footnote reference"/>
    <w:basedOn w:val="688"/>
    <w:uiPriority w:val="99"/>
    <w:semiHidden/>
    <w:unhideWhenUsed/>
    <w:rPr>
      <w:vertAlign w:val="superscript"/>
    </w:rPr>
  </w:style>
  <w:style w:type="character" w:styleId="900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901">
    <w:name w:val="annotation text"/>
    <w:basedOn w:val="678"/>
    <w:link w:val="902"/>
    <w:uiPriority w:val="99"/>
    <w:semiHidden/>
    <w:unhideWhenUsed/>
    <w:pPr>
      <w:spacing w:line="240" w:lineRule="auto"/>
    </w:pPr>
    <w:rPr>
      <w:sz w:val="20"/>
    </w:rPr>
  </w:style>
  <w:style w:type="character" w:styleId="902" w:customStyle="1">
    <w:name w:val="Текст примечания Знак"/>
    <w:basedOn w:val="688"/>
    <w:link w:val="901"/>
    <w:uiPriority w:val="99"/>
    <w:semiHidden/>
    <w:rPr>
      <w:sz w:val="20"/>
    </w:rPr>
  </w:style>
  <w:style w:type="paragraph" w:styleId="903">
    <w:name w:val="annotation subject"/>
    <w:basedOn w:val="901"/>
    <w:next w:val="901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basedOn w:val="902"/>
    <w:link w:val="903"/>
    <w:uiPriority w:val="99"/>
    <w:semiHidden/>
    <w:rPr>
      <w:b/>
      <w:b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8957-37F1-48BB-8D60-232893AB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ev_shefer</cp:lastModifiedBy>
  <cp:revision>4</cp:revision>
  <dcterms:created xsi:type="dcterms:W3CDTF">2026-07-03T11:45:00Z</dcterms:created>
  <dcterms:modified xsi:type="dcterms:W3CDTF">2026-07-03T12:33:07Z</dcterms:modified>
</cp:coreProperties>
</file>