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ПОЯСНИТЕЛЬНАЯ ЗАПИСКА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center"/>
        <w:spacing w:after="0" w:line="240" w:lineRule="auto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  проекту постановления Правительства Ленинградской области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center"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"</w:t>
      </w:r>
      <w:r>
        <w:rPr>
          <w:rFonts w:ascii="Times New Roman" w:hAnsi="Times New Roman"/>
          <w:sz w:val="26"/>
          <w:szCs w:val="26"/>
        </w:rPr>
        <w:t xml:space="preserve">О</w:t>
      </w:r>
      <w:r>
        <w:rPr>
          <w:rFonts w:ascii="Times New Roman" w:hAnsi="Times New Roman"/>
          <w:sz w:val="26"/>
          <w:szCs w:val="26"/>
        </w:rPr>
        <w:t xml:space="preserve"> внесении изменений в постановление Правительства Ленинградской области от 27 января 2026 года № 56 "О распределении субсидии бюджетам муниципальных образований Ленинградской области из областного бюджета Ленинградской области на подготовку проектов межева</w:t>
      </w:r>
      <w:r>
        <w:rPr>
          <w:rFonts w:ascii="Times New Roman" w:hAnsi="Times New Roman"/>
          <w:sz w:val="26"/>
          <w:szCs w:val="26"/>
        </w:rPr>
        <w:t xml:space="preserve">ния земельных участков и на проведение кадастровых работ на 2026 год в рамках государственной программы Ленинградской области "Развитие сельского хозяйства Ленинградской области"</w:t>
      </w:r>
      <w:r>
        <w:rPr>
          <w:rFonts w:ascii="Times New Roman" w:hAnsi="Times New Roman"/>
          <w:sz w:val="26"/>
          <w:szCs w:val="26"/>
        </w:rPr>
        <w:t xml:space="preserve"> (далее – проект постановления)</w:t>
      </w:r>
      <w:r>
        <w:rPr>
          <w:rFonts w:ascii="Times New Roman" w:hAnsi="Times New Roman"/>
          <w:sz w:val="26"/>
          <w:szCs w:val="26"/>
        </w:rPr>
        <w:br w:type="textWrapping" w:clear="all"/>
      </w: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6"/>
          <w:szCs w:val="26"/>
          <w:highlight w:val="none"/>
        </w:rPr>
      </w:pPr>
      <w:r>
        <w:rPr>
          <w:rFonts w:ascii="Times New Roman" w:hAnsi="Times New Roman"/>
          <w:sz w:val="26"/>
          <w:szCs w:val="26"/>
        </w:rPr>
        <w:t xml:space="preserve">В рамках государственной программы эффективного вовлечения в оборот земель сельскохозяйственного назначения и развития мелиоративного комплекса Российской Фе</w:t>
      </w:r>
      <w:r>
        <w:rPr>
          <w:rFonts w:ascii="Times New Roman" w:hAnsi="Times New Roman"/>
          <w:sz w:val="26"/>
          <w:szCs w:val="26"/>
        </w:rPr>
        <w:t xml:space="preserve">дерации между Правительством Ленинградской области и Министерством сельского хозяйства Российской Федерации (далее – Минсельхоз России) заключено </w:t>
      </w:r>
      <w:r>
        <w:rPr>
          <w:rFonts w:ascii="Times New Roman" w:hAnsi="Times New Roman"/>
          <w:sz w:val="26"/>
          <w:szCs w:val="26"/>
          <w:highlight w:val="none"/>
        </w:rPr>
        <w:t xml:space="preserve">соглашение о предоставлении субсидии из федерального бюджета бюджету субъекта Российской Федерации от 18.12.20</w:t>
      </w:r>
      <w:r>
        <w:rPr>
          <w:rFonts w:ascii="Times New Roman" w:hAnsi="Times New Roman"/>
          <w:sz w:val="26"/>
          <w:szCs w:val="26"/>
          <w:highlight w:val="none"/>
        </w:rPr>
        <w:t xml:space="preserve">25 №</w:t>
      </w:r>
      <w:r>
        <w:rPr>
          <w:rFonts w:ascii="Times New Roman" w:hAnsi="Times New Roman"/>
          <w:sz w:val="26"/>
          <w:szCs w:val="26"/>
          <w:highlight w:val="none"/>
        </w:rPr>
        <w:t xml:space="preserve"> 082-09-2026-387</w:t>
      </w:r>
      <w:r>
        <w:rPr>
          <w:rFonts w:ascii="Times New Roman" w:hAnsi="Times New Roman"/>
          <w:sz w:val="26"/>
          <w:szCs w:val="26"/>
          <w:highlight w:val="none"/>
        </w:rPr>
        <w:t xml:space="preserve"> (далее – Соглашение) на подготовку проектов межевания и на проведение кадастровых работ, общий объем бюджетных ассигнований</w:t>
      </w:r>
      <w:r>
        <w:rPr>
          <w:rFonts w:ascii="Times New Roman" w:hAnsi="Times New Roman"/>
          <w:sz w:val="26"/>
          <w:szCs w:val="26"/>
          <w:highlight w:val="none"/>
        </w:rPr>
        <w:t xml:space="preserve"> на финансовое обеспечение расходных обязательств составляет:</w:t>
      </w:r>
      <w:r>
        <w:rPr>
          <w:rFonts w:ascii="Times New Roman" w:hAnsi="Times New Roman"/>
          <w:sz w:val="26"/>
          <w:szCs w:val="26"/>
          <w:highlight w:val="none"/>
        </w:rPr>
      </w:r>
      <w:r>
        <w:rPr>
          <w:rFonts w:ascii="Times New Roman" w:hAnsi="Times New Roman"/>
          <w:sz w:val="26"/>
          <w:szCs w:val="26"/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color w:val="000000"/>
          <w:sz w:val="26"/>
          <w:szCs w:val="26"/>
          <w:highlight w:val="none"/>
        </w:rPr>
      </w:pPr>
      <w:r>
        <w:rPr>
          <w:rFonts w:ascii="Times New Roman" w:hAnsi="Times New Roman"/>
          <w:sz w:val="26"/>
          <w:szCs w:val="26"/>
          <w:highlight w:val="none"/>
        </w:rPr>
        <w:t xml:space="preserve">в 2026 году – </w:t>
      </w:r>
      <w:r>
        <w:rPr>
          <w:rFonts w:ascii="Times New Roman" w:hAnsi="Times New Roman"/>
          <w:sz w:val="26"/>
          <w:szCs w:val="26"/>
          <w:highlight w:val="none"/>
        </w:rPr>
        <w:t xml:space="preserve">7115,10639</w:t>
      </w:r>
      <w:r>
        <w:rPr>
          <w:rFonts w:ascii="Times New Roman" w:hAnsi="Times New Roman"/>
          <w:sz w:val="26"/>
          <w:szCs w:val="26"/>
          <w:highlight w:val="none"/>
        </w:rPr>
        <w:t xml:space="preserve"> тыс. рублей (в </w:t>
      </w:r>
      <w:r>
        <w:rPr>
          <w:rFonts w:ascii="Times New Roman" w:hAnsi="Times New Roman"/>
          <w:sz w:val="26"/>
          <w:szCs w:val="26"/>
          <w:highlight w:val="none"/>
        </w:rPr>
        <w:t xml:space="preserve">т.ч</w:t>
      </w:r>
      <w:r>
        <w:rPr>
          <w:rFonts w:ascii="Times New Roman" w:hAnsi="Times New Roman"/>
          <w:sz w:val="26"/>
          <w:szCs w:val="26"/>
          <w:highlight w:val="none"/>
        </w:rPr>
        <w:t xml:space="preserve">. за сч</w:t>
      </w:r>
      <w:r>
        <w:rPr>
          <w:rFonts w:ascii="Times New Roman" w:hAnsi="Times New Roman"/>
          <w:sz w:val="26"/>
          <w:szCs w:val="26"/>
          <w:highlight w:val="none"/>
        </w:rPr>
        <w:t xml:space="preserve">ет федерального бюджета</w:t>
      </w:r>
      <w:r>
        <w:rPr>
          <w:rFonts w:ascii="Times New Roman" w:hAnsi="Times New Roman"/>
          <w:color w:val="000000"/>
          <w:sz w:val="26"/>
          <w:szCs w:val="26"/>
          <w:highlight w:val="none"/>
        </w:rPr>
        <w:t xml:space="preserve"> 3344,10 тыс. рублей), из них на подготовку проектов межевания земельных            участков – 1078,08511 тыс. руб., на проведение кадастровых работ –                     6037,02128 тыс. руб.</w:t>
      </w:r>
      <w:r>
        <w:rPr>
          <w:rFonts w:ascii="Times New Roman" w:hAnsi="Times New Roman"/>
          <w:color w:val="000000"/>
          <w:sz w:val="26"/>
          <w:szCs w:val="26"/>
          <w:highlight w:val="none"/>
        </w:rPr>
      </w:r>
      <w:r>
        <w:rPr>
          <w:rFonts w:ascii="Times New Roman" w:hAnsi="Times New Roman"/>
          <w:color w:val="000000"/>
          <w:sz w:val="26"/>
          <w:szCs w:val="26"/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в 2027 году – 0 рублей 00 копеек;</w:t>
      </w:r>
      <w:r>
        <w:rPr>
          <w:rFonts w:ascii="Times New Roman" w:hAnsi="Times New Roman"/>
          <w:color w:val="000000"/>
          <w:sz w:val="26"/>
          <w:szCs w:val="26"/>
        </w:rPr>
      </w:r>
      <w:r>
        <w:rPr>
          <w:rFonts w:ascii="Times New Roman" w:hAnsi="Times New Roman"/>
          <w:color w:val="000000"/>
          <w:sz w:val="26"/>
          <w:szCs w:val="26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color w:val="000000"/>
          <w:sz w:val="26"/>
          <w:szCs w:val="26"/>
          <w:highlight w:val="none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в 2028 год –</w:t>
      </w:r>
      <w:r>
        <w:rPr>
          <w:rFonts w:ascii="Times New Roman" w:hAnsi="Times New Roman"/>
          <w:color w:val="000000"/>
          <w:sz w:val="26"/>
          <w:szCs w:val="26"/>
        </w:rPr>
        <w:t xml:space="preserve"> 0 рублей 00 копеек.</w:t>
      </w:r>
      <w:r>
        <w:rPr>
          <w:rFonts w:ascii="Times New Roman" w:hAnsi="Times New Roman"/>
          <w:color w:val="000000"/>
          <w:sz w:val="26"/>
          <w:szCs w:val="26"/>
          <w:highlight w:val="none"/>
        </w:rPr>
      </w:r>
      <w:r>
        <w:rPr>
          <w:rFonts w:ascii="Times New Roman" w:hAnsi="Times New Roman"/>
          <w:color w:val="000000"/>
          <w:sz w:val="26"/>
          <w:szCs w:val="26"/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6"/>
          <w:szCs w:val="26"/>
          <w:highlight w:val="none"/>
        </w:rPr>
      </w:pPr>
      <w:r>
        <w:rPr>
          <w:rFonts w:ascii="Times New Roman" w:hAnsi="Times New Roman"/>
          <w:sz w:val="26"/>
          <w:szCs w:val="26"/>
          <w:highlight w:val="none"/>
        </w:rPr>
      </w:r>
      <w:r>
        <w:rPr>
          <w:rFonts w:ascii="Times New Roman" w:hAnsi="Times New Roman"/>
          <w:sz w:val="26"/>
          <w:szCs w:val="26"/>
          <w:highlight w:val="none"/>
        </w:rPr>
        <w:t xml:space="preserve">Для реализации Соглашения в</w:t>
      </w:r>
      <w:r>
        <w:rPr>
          <w:rFonts w:ascii="Times New Roman" w:hAnsi="Times New Roman"/>
          <w:sz w:val="26"/>
          <w:szCs w:val="26"/>
          <w:highlight w:val="none"/>
        </w:rPr>
        <w:t xml:space="preserve"> областном законе от 22.12.2025 № 173-оз "Об областном бюджете Ленинградской области на 2026 год и на плановый период 2027 и 2028 годов" (далее – Областной закон) Ленинградскому областному комитету по управлению государственным имуществом (далее – комитет)</w:t>
      </w:r>
      <w:r>
        <w:rPr>
          <w:rFonts w:ascii="Times New Roman" w:hAnsi="Times New Roman"/>
          <w:sz w:val="26"/>
          <w:szCs w:val="26"/>
          <w:highlight w:val="none"/>
        </w:rPr>
        <w:t xml:space="preserve"> предусмотрены ассигнования для предоставления субсидий муниципальным образованиям Ленинградской области. Распределение субсидии областным законом о бюджете не утверждено.</w:t>
      </w:r>
      <w:r>
        <w:rPr>
          <w:rFonts w:ascii="Times New Roman" w:hAnsi="Times New Roman"/>
          <w:sz w:val="26"/>
          <w:szCs w:val="26"/>
          <w:highlight w:val="none"/>
        </w:rPr>
      </w:r>
      <w:r>
        <w:rPr>
          <w:rFonts w:ascii="Times New Roman" w:hAnsi="Times New Roman"/>
          <w:sz w:val="26"/>
          <w:szCs w:val="26"/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6"/>
          <w:szCs w:val="26"/>
          <w:highlight w:val="none"/>
        </w:rPr>
      </w:pPr>
      <w:r>
        <w:rPr>
          <w:rFonts w:ascii="Times New Roman" w:hAnsi="Times New Roman"/>
          <w:sz w:val="26"/>
          <w:szCs w:val="26"/>
          <w:highlight w:val="none"/>
        </w:rPr>
      </w:r>
      <w:r>
        <w:rPr>
          <w:rFonts w:ascii="Times New Roman" w:hAnsi="Times New Roman"/>
          <w:sz w:val="26"/>
          <w:szCs w:val="26"/>
          <w:highlight w:val="none"/>
        </w:rPr>
        <w:t xml:space="preserve">Настоящий проект пос</w:t>
      </w:r>
      <w:r>
        <w:rPr>
          <w:rFonts w:ascii="Times New Roman" w:hAnsi="Times New Roman"/>
          <w:sz w:val="26"/>
          <w:szCs w:val="26"/>
          <w:highlight w:val="none"/>
        </w:rPr>
        <w:t xml:space="preserve">тановления разработан в соответствии с п. 7.3, пп. 1               п. 7.4 Порядка предоставления и распределения субсидии бюджетам муниципальных образований Ленинградской области из областного бюджета Ленинградской области на подготовку проектов межева</w:t>
      </w:r>
      <w:r>
        <w:rPr>
          <w:rFonts w:ascii="Times New Roman" w:hAnsi="Times New Roman"/>
          <w:sz w:val="26"/>
          <w:szCs w:val="26"/>
          <w:highlight w:val="none"/>
        </w:rPr>
        <w:t xml:space="preserve">ния земельных участков и на проведение кадастровых работ, утвержденного постановлением Правительства Ленинградской области от  29.12.2012 № 463.</w:t>
      </w:r>
      <w:r>
        <w:rPr>
          <w:rFonts w:ascii="Times New Roman" w:hAnsi="Times New Roman"/>
          <w:sz w:val="26"/>
          <w:szCs w:val="26"/>
          <w:highlight w:val="none"/>
        </w:rPr>
      </w:r>
      <w:r>
        <w:rPr>
          <w:rFonts w:ascii="Times New Roman" w:hAnsi="Times New Roman"/>
          <w:sz w:val="26"/>
          <w:szCs w:val="26"/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6"/>
          <w:szCs w:val="26"/>
          <w:highlight w:val="none"/>
        </w:rPr>
      </w:pPr>
      <w:r>
        <w:rPr>
          <w:rFonts w:ascii="Times New Roman" w:hAnsi="Times New Roman"/>
          <w:sz w:val="26"/>
          <w:szCs w:val="26"/>
          <w:highlight w:val="none"/>
        </w:rPr>
        <w:t xml:space="preserve">В Соглашении установлены следующие значения результатов использования субсид</w:t>
      </w:r>
      <w:r>
        <w:rPr>
          <w:rFonts w:ascii="Times New Roman" w:hAnsi="Times New Roman"/>
          <w:sz w:val="26"/>
          <w:szCs w:val="26"/>
          <w:highlight w:val="none"/>
        </w:rPr>
        <w:t xml:space="preserve">ий, предоставляемых из федерального бюджета бюджетам субъектов Российской Федерации на подготовку проектов межевания земельных участков и на проведение кадастровых работ для Ленинградской области:</w:t>
      </w:r>
      <w:r>
        <w:rPr>
          <w:rFonts w:ascii="Times New Roman" w:hAnsi="Times New Roman"/>
          <w:sz w:val="26"/>
          <w:szCs w:val="26"/>
          <w:highlight w:val="none"/>
        </w:rPr>
      </w:r>
      <w:r>
        <w:rPr>
          <w:rFonts w:ascii="Times New Roman" w:hAnsi="Times New Roman"/>
          <w:sz w:val="26"/>
          <w:szCs w:val="26"/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6"/>
          <w:szCs w:val="26"/>
          <w:highlight w:val="none"/>
        </w:rPr>
      </w:pPr>
      <w:r>
        <w:rPr>
          <w:rFonts w:ascii="Times New Roman" w:hAnsi="Times New Roman"/>
          <w:sz w:val="26"/>
          <w:szCs w:val="26"/>
          <w:highlight w:val="none"/>
        </w:rPr>
        <w:t xml:space="preserve">– по показателю "Подготовлены проекты межевания земельных у</w:t>
      </w:r>
      <w:r>
        <w:rPr>
          <w:rFonts w:ascii="Times New Roman" w:hAnsi="Times New Roman"/>
          <w:sz w:val="26"/>
          <w:szCs w:val="26"/>
          <w:highlight w:val="none"/>
        </w:rPr>
        <w:t xml:space="preserve">частков, выделяемых в счет земельных долей, находящихся в государственной или муниципальной собственности" – 3,32 тыс. га;</w:t>
      </w:r>
      <w:r>
        <w:rPr>
          <w:rFonts w:ascii="Times New Roman" w:hAnsi="Times New Roman"/>
          <w:sz w:val="26"/>
          <w:szCs w:val="26"/>
          <w:highlight w:val="none"/>
        </w:rPr>
      </w:r>
      <w:r>
        <w:rPr>
          <w:rFonts w:ascii="Times New Roman" w:hAnsi="Times New Roman"/>
          <w:sz w:val="26"/>
          <w:szCs w:val="26"/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color w:val="000000"/>
          <w:sz w:val="26"/>
          <w:szCs w:val="26"/>
          <w:highlight w:val="none"/>
        </w:rPr>
      </w:pPr>
      <w:r>
        <w:rPr>
          <w:rFonts w:ascii="Times New Roman" w:hAnsi="Times New Roman"/>
          <w:sz w:val="26"/>
          <w:szCs w:val="26"/>
          <w:highlight w:val="none"/>
        </w:rPr>
        <w:t xml:space="preserve">– по показателю "Осуществлен государственный кадастровый учет земельных участков, государственная собственность на которые не разгран</w:t>
      </w:r>
      <w:r>
        <w:rPr>
          <w:rFonts w:ascii="Times New Roman" w:hAnsi="Times New Roman"/>
          <w:sz w:val="26"/>
          <w:szCs w:val="26"/>
          <w:highlight w:val="none"/>
        </w:rPr>
        <w:t xml:space="preserve">ичена, из состава земель сельскохозяйственного назначения, земельных участков, выделяемых в счет земельных долей, находящихся в государственной или муниципальной собственности, и земельных участков, находящихся в государственной или муниципальной собственн</w:t>
      </w:r>
      <w:r>
        <w:rPr>
          <w:rFonts w:ascii="Times New Roman" w:hAnsi="Times New Roman"/>
          <w:sz w:val="26"/>
          <w:szCs w:val="26"/>
          <w:highlight w:val="none"/>
        </w:rPr>
        <w:t xml:space="preserve">ости, свободных от прав третьих лиц и объектов недвижимого имущества" – </w:t>
      </w:r>
      <w:r>
        <w:rPr>
          <w:rFonts w:ascii="Times New Roman" w:hAnsi="Times New Roman"/>
          <w:color w:val="000000"/>
          <w:sz w:val="26"/>
          <w:szCs w:val="26"/>
          <w:highlight w:val="none"/>
        </w:rPr>
        <w:t xml:space="preserve">7,26 тыс. га.</w:t>
      </w:r>
      <w:r>
        <w:rPr>
          <w:rFonts w:ascii="Times New Roman" w:hAnsi="Times New Roman"/>
          <w:color w:val="000000"/>
          <w:sz w:val="26"/>
          <w:szCs w:val="26"/>
          <w:highlight w:val="none"/>
        </w:rPr>
      </w:r>
      <w:r>
        <w:rPr>
          <w:rFonts w:ascii="Times New Roman" w:hAnsi="Times New Roman"/>
          <w:color w:val="000000"/>
          <w:sz w:val="26"/>
          <w:szCs w:val="26"/>
          <w:highlight w:val="none"/>
        </w:rPr>
      </w:r>
    </w:p>
    <w:p>
      <w:pPr>
        <w:ind w:firstLine="709"/>
        <w:jc w:val="both"/>
        <w:spacing w:after="0" w:line="240" w:lineRule="auto"/>
        <w:rPr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  <w:highlight w:val="none"/>
        </w:rPr>
        <w:t xml:space="preserve">Комитетом с администрациями </w:t>
      </w:r>
      <w:r>
        <w:rPr>
          <w:rFonts w:ascii="Times New Roman" w:hAnsi="Times New Roman"/>
          <w:color w:val="000000"/>
          <w:sz w:val="26"/>
          <w:szCs w:val="26"/>
          <w:highlight w:val="none"/>
        </w:rPr>
        <w:t xml:space="preserve">Выборгского муниципального района, </w:t>
      </w:r>
      <w:r>
        <w:rPr>
          <w:rFonts w:ascii="Times New Roman" w:hAnsi="Times New Roman"/>
          <w:color w:val="000000"/>
          <w:sz w:val="26"/>
          <w:szCs w:val="26"/>
          <w:highlight w:val="none"/>
        </w:rPr>
        <w:t xml:space="preserve">Серебрянского сельского поселения Лужского муниципального района,</w:t>
      </w:r>
      <w:r>
        <w:rPr>
          <w:rFonts w:ascii="Times New Roman" w:hAnsi="Times New Roman"/>
          <w:color w:val="000000"/>
          <w:sz w:val="26"/>
          <w:szCs w:val="26"/>
          <w:highlight w:val="none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  <w:highlight w:val="none"/>
        </w:rPr>
        <w:t xml:space="preserve">Горского сельского поселения Тихвинского муниципального района</w:t>
      </w:r>
      <w:r>
        <w:rPr>
          <w:rFonts w:ascii="Times New Roman" w:hAnsi="Times New Roman"/>
          <w:color w:val="000000"/>
          <w:sz w:val="26"/>
          <w:szCs w:val="26"/>
          <w:highlight w:val="none"/>
        </w:rPr>
        <w:t xml:space="preserve">, </w:t>
      </w:r>
      <w:r>
        <w:rPr>
          <w:rFonts w:ascii="Times New Roman" w:hAnsi="Times New Roman"/>
          <w:color w:val="000000"/>
          <w:sz w:val="26"/>
          <w:szCs w:val="26"/>
          <w:highlight w:val="none"/>
        </w:rPr>
        <w:t xml:space="preserve">Любанского городского поселения Тосненского муниципального района Ленинградской области </w:t>
      </w:r>
      <w:r>
        <w:rPr>
          <w:rFonts w:ascii="Times New Roman" w:hAnsi="Times New Roman"/>
          <w:color w:val="000000"/>
          <w:sz w:val="26"/>
          <w:szCs w:val="26"/>
          <w:highlight w:val="none"/>
        </w:rPr>
        <w:t xml:space="preserve">заключены дополнительные соглашения на уменьшение ассигнований к соглашениям о предоставлении субсидии на подготовку проектов межевания земельных участков и (или) проведение кадастровых работ в отношении земель сельскохозяйственного назначения </w:t>
      </w:r>
      <w:r>
        <w:rPr>
          <w:rFonts w:ascii="Times New Roman" w:hAnsi="Times New Roman"/>
          <w:color w:val="000000"/>
          <w:sz w:val="26"/>
          <w:szCs w:val="26"/>
          <w:highlight w:val="none"/>
        </w:rPr>
        <w:t xml:space="preserve">в</w:t>
      </w:r>
      <w:r>
        <w:rPr>
          <w:rFonts w:ascii="Times New Roman" w:hAnsi="Times New Roman"/>
          <w:color w:val="000000"/>
          <w:sz w:val="26"/>
          <w:szCs w:val="26"/>
          <w:highlight w:val="none"/>
        </w:rPr>
        <w:t xml:space="preserve"> соответствии с муниципальными к</w:t>
      </w:r>
      <w:r>
        <w:rPr>
          <w:rFonts w:ascii="Times New Roman" w:hAnsi="Times New Roman"/>
          <w:color w:val="000000"/>
          <w:sz w:val="26"/>
          <w:szCs w:val="26"/>
          <w:highlight w:val="none"/>
        </w:rPr>
        <w:t xml:space="preserve">онтрактами.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/>
          <w:color w:val="000000"/>
          <w:sz w:val="26"/>
          <w:szCs w:val="26"/>
          <w:highlight w:val="none"/>
        </w:rPr>
      </w:pPr>
      <w:r>
        <w:rPr>
          <w:rFonts w:ascii="Times New Roman" w:hAnsi="Times New Roman"/>
          <w:color w:val="000000"/>
          <w:sz w:val="26"/>
          <w:szCs w:val="26"/>
          <w:highlight w:val="none"/>
        </w:rPr>
        <w:t xml:space="preserve">В результате заключения муниципальных контрактов:</w:t>
      </w:r>
      <w:r>
        <w:rPr>
          <w:rFonts w:ascii="Times New Roman" w:hAnsi="Times New Roman"/>
          <w:color w:val="000000"/>
          <w:sz w:val="26"/>
          <w:szCs w:val="26"/>
          <w:highlight w:val="none"/>
        </w:rPr>
      </w:r>
      <w:r>
        <w:rPr>
          <w:rFonts w:ascii="Times New Roman" w:hAnsi="Times New Roman"/>
          <w:color w:val="000000"/>
          <w:sz w:val="26"/>
          <w:szCs w:val="26"/>
          <w:highlight w:val="non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/>
          <w:color w:val="000000"/>
          <w:sz w:val="26"/>
          <w:szCs w:val="26"/>
          <w:highlight w:val="none"/>
        </w:rPr>
      </w:pPr>
      <w:r>
        <w:rPr>
          <w:rFonts w:ascii="Times New Roman" w:hAnsi="Times New Roman"/>
          <w:color w:val="000000"/>
          <w:sz w:val="26"/>
          <w:szCs w:val="26"/>
          <w:highlight w:val="none"/>
        </w:rPr>
        <w:t xml:space="preserve">– общий размер субсидии на </w:t>
      </w:r>
      <w:r>
        <w:rPr>
          <w:rFonts w:ascii="Times New Roman" w:hAnsi="Times New Roman"/>
          <w:color w:val="000000"/>
          <w:sz w:val="26"/>
          <w:szCs w:val="26"/>
          <w:highlight w:val="none"/>
        </w:rPr>
        <w:t xml:space="preserve">подготовку проектов межевания земельных участков,</w:t>
      </w:r>
      <w:r>
        <w:rPr>
          <w:rFonts w:ascii="Times New Roman" w:hAnsi="Times New Roman"/>
          <w:color w:val="000000"/>
          <w:sz w:val="26"/>
          <w:szCs w:val="26"/>
          <w:highlight w:val="none"/>
        </w:rPr>
        <w:t xml:space="preserve"> предоставляемой из областного бюджета Ленинградской области бюджету </w:t>
      </w:r>
      <w:r>
        <w:rPr>
          <w:rFonts w:ascii="Times New Roman" w:hAnsi="Times New Roman"/>
          <w:color w:val="000000"/>
          <w:sz w:val="26"/>
          <w:szCs w:val="26"/>
          <w:highlight w:val="none"/>
        </w:rPr>
        <w:t xml:space="preserve">Серебрянского сельского поселения Лужского муниципального района</w:t>
      </w:r>
      <w:r>
        <w:rPr>
          <w:rFonts w:ascii="Times New Roman" w:hAnsi="Times New Roman"/>
          <w:color w:val="000000"/>
          <w:sz w:val="26"/>
          <w:szCs w:val="26"/>
          <w:highlight w:val="none"/>
        </w:rPr>
        <w:t xml:space="preserve"> составит</w:t>
      </w:r>
      <w:r>
        <w:rPr>
          <w:rFonts w:ascii="Times New Roman" w:hAnsi="Times New Roman"/>
          <w:color w:val="000000"/>
          <w:sz w:val="26"/>
          <w:szCs w:val="26"/>
          <w:highlight w:val="none"/>
        </w:rPr>
        <w:t xml:space="preserve">                </w:t>
      </w:r>
      <w:r>
        <w:rPr>
          <w:rFonts w:ascii="Times New Roman" w:hAnsi="Times New Roman"/>
          <w:color w:val="000000"/>
          <w:sz w:val="26"/>
          <w:szCs w:val="26"/>
          <w:highlight w:val="none"/>
        </w:rPr>
        <w:t xml:space="preserve">82,80</w:t>
      </w:r>
      <w:r>
        <w:rPr>
          <w:rFonts w:ascii="Times New Roman" w:hAnsi="Times New Roman"/>
          <w:color w:val="000000"/>
          <w:sz w:val="26"/>
          <w:szCs w:val="26"/>
          <w:highlight w:val="none"/>
        </w:rPr>
        <w:t xml:space="preserve"> тыс. руб., бюджету </w:t>
      </w:r>
      <w:r>
        <w:rPr>
          <w:rFonts w:ascii="Times New Roman" w:hAnsi="Times New Roman"/>
          <w:color w:val="000000"/>
          <w:sz w:val="26"/>
          <w:szCs w:val="26"/>
          <w:highlight w:val="none"/>
        </w:rPr>
        <w:t xml:space="preserve">Горского сельского поселения Тихвинского муниципального района</w:t>
      </w:r>
      <w:r>
        <w:rPr>
          <w:rFonts w:ascii="Times New Roman" w:hAnsi="Times New Roman"/>
          <w:color w:val="000000"/>
          <w:sz w:val="26"/>
          <w:szCs w:val="26"/>
          <w:highlight w:val="none"/>
        </w:rPr>
        <w:t xml:space="preserve"> – </w:t>
      </w:r>
      <w:r>
        <w:rPr>
          <w:rFonts w:ascii="Times New Roman" w:hAnsi="Times New Roman"/>
          <w:color w:val="000000"/>
          <w:sz w:val="26"/>
          <w:szCs w:val="26"/>
          <w:highlight w:val="none"/>
        </w:rPr>
        <w:t xml:space="preserve">45,30</w:t>
      </w:r>
      <w:r>
        <w:rPr>
          <w:rFonts w:ascii="Times New Roman" w:hAnsi="Times New Roman"/>
          <w:color w:val="000000"/>
          <w:sz w:val="26"/>
          <w:szCs w:val="26"/>
          <w:highlight w:val="none"/>
        </w:rPr>
        <w:t xml:space="preserve"> тыс. руб.</w:t>
      </w:r>
      <w:r>
        <w:rPr>
          <w:rFonts w:ascii="Times New Roman" w:hAnsi="Times New Roman"/>
          <w:color w:val="000000"/>
          <w:sz w:val="26"/>
          <w:szCs w:val="26"/>
          <w:highlight w:val="none"/>
        </w:rPr>
        <w:t xml:space="preserve">;</w:t>
      </w:r>
      <w:r>
        <w:rPr>
          <w:rFonts w:ascii="Times New Roman" w:hAnsi="Times New Roman"/>
          <w:color w:val="000000"/>
          <w:sz w:val="26"/>
          <w:szCs w:val="26"/>
          <w:highlight w:val="non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/>
          <w:color w:val="000000"/>
          <w:sz w:val="26"/>
          <w:szCs w:val="26"/>
          <w:highlight w:val="none"/>
        </w:rPr>
      </w:pPr>
      <w:r>
        <w:rPr>
          <w:rFonts w:ascii="Times New Roman" w:hAnsi="Times New Roman"/>
          <w:color w:val="000000"/>
          <w:sz w:val="26"/>
          <w:szCs w:val="26"/>
          <w:highlight w:val="none"/>
        </w:rPr>
      </w:r>
      <w:r>
        <w:rPr>
          <w:rFonts w:ascii="Times New Roman" w:hAnsi="Times New Roman"/>
          <w:color w:val="000000"/>
          <w:sz w:val="26"/>
          <w:szCs w:val="26"/>
          <w:highlight w:val="none"/>
        </w:rPr>
        <w:t xml:space="preserve">−</w:t>
      </w:r>
      <w:r>
        <w:rPr>
          <w:rFonts w:ascii="Times New Roman" w:hAnsi="Times New Roman"/>
          <w:color w:val="000000"/>
          <w:sz w:val="26"/>
          <w:szCs w:val="26"/>
          <w:highlight w:val="none"/>
        </w:rPr>
        <w:tab/>
        <w:t xml:space="preserve">общий размер субсидии на проведение кадастровых работ, предоставляемой из областного бюджета Ленинградской области бюджету </w:t>
      </w:r>
      <w:r>
        <w:rPr>
          <w:rFonts w:ascii="Times New Roman" w:hAnsi="Times New Roman"/>
          <w:color w:val="000000"/>
          <w:sz w:val="26"/>
          <w:szCs w:val="26"/>
          <w:highlight w:val="none"/>
        </w:rPr>
        <w:t xml:space="preserve">Выборгского муниципального района составит </w:t>
      </w:r>
      <w:r>
        <w:rPr>
          <w:rFonts w:ascii="Times New Roman" w:hAnsi="Times New Roman"/>
          <w:color w:val="000000"/>
          <w:sz w:val="26"/>
          <w:szCs w:val="26"/>
          <w:highlight w:val="none"/>
        </w:rPr>
        <w:t xml:space="preserve">50,10</w:t>
      </w:r>
      <w:r>
        <w:rPr>
          <w:rFonts w:ascii="Times New Roman" w:hAnsi="Times New Roman"/>
          <w:color w:val="000000"/>
          <w:sz w:val="26"/>
          <w:szCs w:val="26"/>
          <w:highlight w:val="none"/>
        </w:rPr>
        <w:t xml:space="preserve"> тыс. руб.,</w:t>
      </w:r>
      <w:r>
        <w:rPr>
          <w:rFonts w:ascii="Times New Roman" w:hAnsi="Times New Roman"/>
          <w:color w:val="000000"/>
          <w:sz w:val="26"/>
          <w:szCs w:val="26"/>
          <w:highlight w:val="none"/>
        </w:rPr>
        <w:t xml:space="preserve"> бюджету С</w:t>
      </w:r>
      <w:r>
        <w:rPr>
          <w:rFonts w:ascii="Times New Roman" w:hAnsi="Times New Roman"/>
          <w:color w:val="000000"/>
          <w:sz w:val="26"/>
          <w:szCs w:val="26"/>
          <w:highlight w:val="none"/>
        </w:rPr>
        <w:t xml:space="preserve">еребрянского сельского поселения Лужского муниципального района – 235,80 тыс. руб., бюджету Горского сельского поселения Тихвинского муниципального района – 130,70 тыс. руб.</w:t>
      </w:r>
      <w:r>
        <w:rPr>
          <w:rFonts w:ascii="Times New Roman" w:hAnsi="Times New Roman"/>
          <w:color w:val="000000"/>
          <w:sz w:val="26"/>
          <w:szCs w:val="26"/>
          <w:highlight w:val="none"/>
        </w:rPr>
        <w:t xml:space="preserve">, бюджету </w:t>
      </w:r>
      <w:r>
        <w:rPr>
          <w:rFonts w:ascii="Times New Roman" w:hAnsi="Times New Roman"/>
          <w:color w:val="000000"/>
          <w:sz w:val="26"/>
          <w:szCs w:val="26"/>
          <w:highlight w:val="none"/>
        </w:rPr>
        <w:t xml:space="preserve">Любанского городского поселения Тосненского муниципального района</w:t>
      </w:r>
      <w:r>
        <w:rPr>
          <w:rFonts w:ascii="Times New Roman" w:hAnsi="Times New Roman"/>
          <w:color w:val="000000"/>
          <w:sz w:val="26"/>
          <w:szCs w:val="26"/>
          <w:highlight w:val="none"/>
        </w:rPr>
        <w:t xml:space="preserve"> – </w:t>
      </w:r>
      <w:r>
        <w:rPr>
          <w:rFonts w:ascii="Times New Roman" w:hAnsi="Times New Roman"/>
          <w:color w:val="000000"/>
          <w:sz w:val="26"/>
          <w:szCs w:val="26"/>
          <w:highlight w:val="none"/>
        </w:rPr>
        <w:t xml:space="preserve">72,80</w:t>
      </w:r>
      <w:r>
        <w:rPr>
          <w:rFonts w:ascii="Times New Roman" w:hAnsi="Times New Roman"/>
          <w:color w:val="000000"/>
          <w:sz w:val="26"/>
          <w:szCs w:val="26"/>
          <w:highlight w:val="none"/>
        </w:rPr>
        <w:t xml:space="preserve"> тыс. руб.</w:t>
      </w:r>
      <w:r>
        <w:rPr>
          <w:rFonts w:ascii="Times New Roman" w:hAnsi="Times New Roman"/>
          <w:color w:val="000000"/>
          <w:sz w:val="26"/>
          <w:szCs w:val="26"/>
          <w:highlight w:val="none"/>
        </w:rPr>
      </w:r>
      <w:r>
        <w:rPr>
          <w:rFonts w:ascii="Times New Roman" w:hAnsi="Times New Roman"/>
          <w:color w:val="000000"/>
          <w:sz w:val="26"/>
          <w:szCs w:val="26"/>
          <w:highlight w:val="non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/>
          <w:color w:val="000000"/>
          <w:sz w:val="26"/>
          <w:szCs w:val="26"/>
          <w:highlight w:val="none"/>
        </w:rPr>
      </w:pPr>
      <w:r>
        <w:rPr>
          <w:rFonts w:ascii="Times New Roman" w:hAnsi="Times New Roman"/>
          <w:color w:val="000000"/>
          <w:sz w:val="26"/>
          <w:szCs w:val="26"/>
          <w:highlight w:val="none"/>
        </w:rPr>
      </w:r>
      <w:r>
        <w:rPr>
          <w:rFonts w:ascii="Times New Roman" w:hAnsi="Times New Roman"/>
          <w:color w:val="000000"/>
          <w:sz w:val="26"/>
          <w:szCs w:val="26"/>
          <w:highlight w:val="none"/>
        </w:rPr>
        <w:t xml:space="preserve">Общий размер субсидии на подготовку проектов межевания земельных участков, предоставляемой из областного бюджета Ленинградской области бюджету </w:t>
      </w:r>
      <w:r>
        <w:rPr>
          <w:rFonts w:ascii="Times New Roman" w:hAnsi="Times New Roman"/>
          <w:color w:val="000000"/>
          <w:sz w:val="26"/>
          <w:szCs w:val="26"/>
          <w:highlight w:val="none"/>
        </w:rPr>
        <w:t xml:space="preserve">Бокситогорского, </w:t>
      </w:r>
      <w:r>
        <w:rPr>
          <w:rFonts w:ascii="Times New Roman" w:hAnsi="Times New Roman"/>
          <w:color w:val="000000"/>
          <w:sz w:val="26"/>
          <w:szCs w:val="26"/>
          <w:highlight w:val="none"/>
        </w:rPr>
        <w:t xml:space="preserve">Ефимовского</w:t>
      </w:r>
      <w:r>
        <w:rPr>
          <w:rFonts w:ascii="Times New Roman" w:hAnsi="Times New Roman"/>
          <w:color w:val="000000"/>
          <w:sz w:val="26"/>
          <w:szCs w:val="26"/>
          <w:highlight w:val="none"/>
        </w:rPr>
        <w:t xml:space="preserve"> городских поселений, </w:t>
      </w:r>
      <w:r>
        <w:rPr>
          <w:rFonts w:ascii="Times New Roman" w:hAnsi="Times New Roman"/>
          <w:color w:val="000000"/>
          <w:sz w:val="26"/>
          <w:szCs w:val="26"/>
          <w:highlight w:val="none"/>
        </w:rPr>
        <w:t xml:space="preserve">Борского, </w:t>
      </w:r>
      <w:r>
        <w:rPr>
          <w:rFonts w:ascii="Times New Roman" w:hAnsi="Times New Roman"/>
          <w:color w:val="000000"/>
          <w:sz w:val="26"/>
          <w:szCs w:val="26"/>
          <w:highlight w:val="none"/>
        </w:rPr>
        <w:t xml:space="preserve">Самойловского </w:t>
      </w:r>
      <w:r>
        <w:rPr>
          <w:rFonts w:ascii="Times New Roman" w:hAnsi="Times New Roman"/>
          <w:color w:val="000000"/>
          <w:sz w:val="26"/>
          <w:szCs w:val="26"/>
          <w:highlight w:val="none"/>
        </w:rPr>
        <w:t xml:space="preserve"> сельских поселений </w:t>
      </w:r>
      <w:r>
        <w:rPr>
          <w:rFonts w:ascii="Times New Roman" w:hAnsi="Times New Roman"/>
          <w:color w:val="000000"/>
          <w:sz w:val="26"/>
          <w:szCs w:val="26"/>
          <w:highlight w:val="none"/>
        </w:rPr>
        <w:t xml:space="preserve">Бокситогорского муниципального района, </w:t>
      </w:r>
      <w:r>
        <w:rPr>
          <w:rFonts w:ascii="Times New Roman" w:hAnsi="Times New Roman"/>
          <w:color w:val="000000"/>
          <w:sz w:val="26"/>
          <w:szCs w:val="26"/>
          <w:highlight w:val="none"/>
        </w:rPr>
        <w:t xml:space="preserve">Бегуницкого, Сабского сельских поселений </w:t>
      </w:r>
      <w:r>
        <w:rPr>
          <w:rFonts w:ascii="Times New Roman" w:hAnsi="Times New Roman"/>
          <w:color w:val="000000"/>
          <w:sz w:val="26"/>
          <w:szCs w:val="26"/>
          <w:highlight w:val="none"/>
        </w:rPr>
        <w:t xml:space="preserve">Волосовского </w:t>
      </w:r>
      <w:r>
        <w:rPr>
          <w:rFonts w:ascii="Times New Roman" w:hAnsi="Times New Roman"/>
          <w:color w:val="000000"/>
          <w:sz w:val="26"/>
          <w:szCs w:val="26"/>
          <w:highlight w:val="none"/>
        </w:rPr>
        <w:t xml:space="preserve">муниципального района</w:t>
      </w:r>
      <w:r>
        <w:rPr>
          <w:rFonts w:ascii="Times New Roman" w:hAnsi="Times New Roman"/>
          <w:color w:val="000000"/>
          <w:sz w:val="26"/>
          <w:szCs w:val="26"/>
          <w:highlight w:val="none"/>
        </w:rPr>
        <w:t xml:space="preserve">, </w:t>
      </w:r>
      <w:r>
        <w:rPr>
          <w:rFonts w:ascii="Times New Roman" w:hAnsi="Times New Roman"/>
          <w:color w:val="000000"/>
          <w:sz w:val="26"/>
          <w:szCs w:val="26"/>
          <w:highlight w:val="none"/>
        </w:rPr>
        <w:t xml:space="preserve">Большелуцкого сельского поселения </w:t>
      </w:r>
      <w:r>
        <w:rPr>
          <w:rFonts w:ascii="Times New Roman" w:hAnsi="Times New Roman"/>
          <w:color w:val="000000"/>
          <w:sz w:val="26"/>
          <w:szCs w:val="26"/>
          <w:highlight w:val="none"/>
        </w:rPr>
        <w:t xml:space="preserve">Кингисеппского муниципального района, </w:t>
      </w:r>
      <w:r>
        <w:rPr>
          <w:rFonts w:ascii="Times New Roman" w:hAnsi="Times New Roman"/>
          <w:color w:val="000000"/>
          <w:sz w:val="26"/>
          <w:szCs w:val="26"/>
          <w:highlight w:val="none"/>
        </w:rPr>
        <w:t xml:space="preserve">Подпорожского городского поселения </w:t>
      </w:r>
      <w:r>
        <w:rPr>
          <w:rFonts w:ascii="Times New Roman" w:hAnsi="Times New Roman"/>
          <w:color w:val="000000"/>
          <w:sz w:val="26"/>
          <w:szCs w:val="26"/>
          <w:highlight w:val="none"/>
        </w:rPr>
        <w:t xml:space="preserve">Подпорожского муниципального района, </w:t>
      </w:r>
      <w:r>
        <w:rPr>
          <w:rFonts w:ascii="Times New Roman" w:hAnsi="Times New Roman"/>
          <w:color w:val="000000"/>
          <w:sz w:val="26"/>
          <w:szCs w:val="26"/>
          <w:highlight w:val="none"/>
        </w:rPr>
        <w:t xml:space="preserve">Шугозерского сельского поселения </w:t>
      </w:r>
      <w:r>
        <w:rPr>
          <w:rFonts w:ascii="Times New Roman" w:hAnsi="Times New Roman"/>
          <w:color w:val="000000"/>
          <w:sz w:val="26"/>
          <w:szCs w:val="26"/>
          <w:highlight w:val="none"/>
        </w:rPr>
        <w:t xml:space="preserve">Тихвинского муниципального района н</w:t>
      </w:r>
      <w:r>
        <w:rPr>
          <w:rFonts w:ascii="Times New Roman" w:hAnsi="Times New Roman"/>
          <w:color w:val="000000"/>
          <w:sz w:val="26"/>
          <w:szCs w:val="26"/>
          <w:highlight w:val="none"/>
        </w:rPr>
        <w:t xml:space="preserve">е изменился.</w:t>
      </w:r>
      <w:r>
        <w:rPr>
          <w:rFonts w:ascii="Times New Roman" w:hAnsi="Times New Roman"/>
          <w:color w:val="000000"/>
          <w:sz w:val="26"/>
          <w:szCs w:val="26"/>
          <w:highlight w:val="none"/>
        </w:rPr>
      </w:r>
      <w:r>
        <w:rPr>
          <w:rFonts w:ascii="Times New Roman" w:hAnsi="Times New Roman"/>
          <w:color w:val="000000"/>
          <w:sz w:val="26"/>
          <w:szCs w:val="26"/>
          <w:highlight w:val="non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/>
          <w:color w:val="000000"/>
          <w:sz w:val="26"/>
          <w:szCs w:val="26"/>
          <w:highlight w:val="none"/>
        </w:rPr>
      </w:pPr>
      <w:r>
        <w:rPr>
          <w:rFonts w:ascii="Times New Roman" w:hAnsi="Times New Roman"/>
          <w:color w:val="000000"/>
          <w:sz w:val="26"/>
          <w:szCs w:val="26"/>
          <w:highlight w:val="none"/>
        </w:rPr>
      </w:r>
      <w:r>
        <w:rPr>
          <w:rFonts w:ascii="Times New Roman" w:hAnsi="Times New Roman"/>
          <w:color w:val="000000"/>
          <w:sz w:val="26"/>
          <w:szCs w:val="26"/>
          <w:highlight w:val="none"/>
        </w:rPr>
        <w:t xml:space="preserve">Общий размер субсидии на проведение кадастровых работ, предоставляемой из областного бюджета Ленинградской области бюджету </w:t>
      </w:r>
      <w:r>
        <w:rPr>
          <w:rFonts w:ascii="Times New Roman" w:hAnsi="Times New Roman"/>
          <w:color w:val="000000"/>
          <w:sz w:val="26"/>
          <w:szCs w:val="26"/>
          <w:highlight w:val="none"/>
        </w:rPr>
        <w:t xml:space="preserve">Бокситогорского, </w:t>
      </w:r>
      <w:r>
        <w:rPr>
          <w:rFonts w:ascii="Times New Roman" w:hAnsi="Times New Roman"/>
          <w:color w:val="000000"/>
          <w:sz w:val="26"/>
          <w:szCs w:val="26"/>
          <w:highlight w:val="none"/>
        </w:rPr>
        <w:t xml:space="preserve">Ефимовского</w:t>
      </w:r>
      <w:r>
        <w:rPr>
          <w:rFonts w:ascii="Times New Roman" w:hAnsi="Times New Roman"/>
          <w:color w:val="000000"/>
          <w:sz w:val="26"/>
          <w:szCs w:val="26"/>
          <w:highlight w:val="none"/>
        </w:rPr>
        <w:t xml:space="preserve"> городских поселений, </w:t>
      </w:r>
      <w:r>
        <w:rPr>
          <w:rFonts w:ascii="Times New Roman" w:hAnsi="Times New Roman"/>
          <w:color w:val="000000"/>
          <w:sz w:val="26"/>
          <w:szCs w:val="26"/>
          <w:highlight w:val="none"/>
        </w:rPr>
        <w:t xml:space="preserve">Борского, </w:t>
      </w:r>
      <w:r>
        <w:rPr>
          <w:rFonts w:ascii="Times New Roman" w:hAnsi="Times New Roman"/>
          <w:color w:val="000000"/>
          <w:sz w:val="26"/>
          <w:szCs w:val="26"/>
          <w:highlight w:val="none"/>
        </w:rPr>
        <w:t xml:space="preserve">Самойловского </w:t>
      </w:r>
      <w:r>
        <w:rPr>
          <w:rFonts w:ascii="Times New Roman" w:hAnsi="Times New Roman"/>
          <w:color w:val="000000"/>
          <w:sz w:val="26"/>
          <w:szCs w:val="26"/>
          <w:highlight w:val="none"/>
        </w:rPr>
        <w:t xml:space="preserve">сельских поселений </w:t>
      </w:r>
      <w:r>
        <w:rPr>
          <w:rFonts w:ascii="Times New Roman" w:hAnsi="Times New Roman"/>
          <w:color w:val="000000"/>
          <w:sz w:val="26"/>
          <w:szCs w:val="26"/>
          <w:highlight w:val="none"/>
        </w:rPr>
        <w:t xml:space="preserve">Бокситогорского муниципального района, </w:t>
      </w:r>
      <w:r>
        <w:rPr>
          <w:rFonts w:ascii="Times New Roman" w:hAnsi="Times New Roman"/>
          <w:color w:val="000000"/>
          <w:sz w:val="26"/>
          <w:szCs w:val="26"/>
          <w:highlight w:val="none"/>
        </w:rPr>
        <w:t xml:space="preserve">Бегуницкого, Сабского сельских поселений </w:t>
      </w:r>
      <w:r>
        <w:rPr>
          <w:rFonts w:ascii="Times New Roman" w:hAnsi="Times New Roman"/>
          <w:color w:val="000000"/>
          <w:sz w:val="26"/>
          <w:szCs w:val="26"/>
          <w:highlight w:val="none"/>
        </w:rPr>
        <w:t xml:space="preserve">Волосовского </w:t>
      </w:r>
      <w:r>
        <w:rPr>
          <w:rFonts w:ascii="Times New Roman" w:hAnsi="Times New Roman"/>
          <w:color w:val="000000"/>
          <w:sz w:val="26"/>
          <w:szCs w:val="26"/>
          <w:highlight w:val="none"/>
        </w:rPr>
        <w:t xml:space="preserve">муниципального района</w:t>
      </w:r>
      <w:r>
        <w:rPr>
          <w:rFonts w:ascii="Times New Roman" w:hAnsi="Times New Roman"/>
          <w:color w:val="000000"/>
          <w:sz w:val="26"/>
          <w:szCs w:val="26"/>
          <w:highlight w:val="none"/>
        </w:rPr>
        <w:t xml:space="preserve">, </w:t>
      </w:r>
      <w:r>
        <w:rPr>
          <w:rFonts w:ascii="Times New Roman" w:hAnsi="Times New Roman"/>
          <w:color w:val="000000"/>
          <w:sz w:val="26"/>
          <w:szCs w:val="26"/>
          <w:highlight w:val="none"/>
        </w:rPr>
        <w:t xml:space="preserve">Большелуцкого сельского поселения </w:t>
      </w:r>
      <w:r>
        <w:rPr>
          <w:rFonts w:ascii="Times New Roman" w:hAnsi="Times New Roman"/>
          <w:color w:val="000000"/>
          <w:sz w:val="26"/>
          <w:szCs w:val="26"/>
          <w:highlight w:val="none"/>
        </w:rPr>
        <w:t xml:space="preserve">Кингисеппского муниципального района, </w:t>
      </w:r>
      <w:r>
        <w:rPr>
          <w:rFonts w:ascii="Times New Roman" w:hAnsi="Times New Roman"/>
          <w:color w:val="000000"/>
          <w:sz w:val="26"/>
          <w:szCs w:val="26"/>
          <w:highlight w:val="none"/>
        </w:rPr>
        <w:t xml:space="preserve">Важинского, Вознесенского, Подпорожского городских поселений </w:t>
      </w:r>
      <w:r>
        <w:rPr>
          <w:rFonts w:ascii="Times New Roman" w:hAnsi="Times New Roman"/>
          <w:color w:val="000000"/>
          <w:sz w:val="26"/>
          <w:szCs w:val="26"/>
          <w:highlight w:val="none"/>
        </w:rPr>
        <w:t xml:space="preserve">Подпорожского муниципального района, </w:t>
      </w:r>
      <w:r>
        <w:rPr>
          <w:rFonts w:ascii="Times New Roman" w:hAnsi="Times New Roman"/>
          <w:color w:val="000000"/>
          <w:sz w:val="26"/>
          <w:szCs w:val="26"/>
          <w:highlight w:val="none"/>
        </w:rPr>
        <w:t xml:space="preserve">Шугозерского сельского поселения </w:t>
      </w:r>
      <w:r>
        <w:rPr>
          <w:rFonts w:ascii="Times New Roman" w:hAnsi="Times New Roman"/>
          <w:color w:val="000000"/>
          <w:sz w:val="26"/>
          <w:szCs w:val="26"/>
          <w:highlight w:val="none"/>
        </w:rPr>
        <w:t xml:space="preserve">Тихвинского муниципального района, </w:t>
      </w:r>
      <w:r>
        <w:rPr>
          <w:rFonts w:ascii="Times New Roman" w:hAnsi="Times New Roman"/>
          <w:color w:val="000000"/>
          <w:sz w:val="26"/>
          <w:szCs w:val="26"/>
          <w:highlight w:val="none"/>
        </w:rPr>
        <w:t xml:space="preserve">Волосовского, </w:t>
      </w:r>
      <w:r>
        <w:rPr>
          <w:rFonts w:ascii="Times New Roman" w:hAnsi="Times New Roman"/>
          <w:color w:val="000000"/>
          <w:sz w:val="26"/>
          <w:szCs w:val="26"/>
          <w:highlight w:val="none"/>
        </w:rPr>
        <w:t xml:space="preserve">Волховского,</w:t>
      </w:r>
      <w:r>
        <w:rPr>
          <w:rFonts w:ascii="Times New Roman" w:hAnsi="Times New Roman"/>
          <w:color w:val="000000"/>
          <w:sz w:val="26"/>
          <w:szCs w:val="26"/>
          <w:highlight w:val="none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  <w:highlight w:val="none"/>
        </w:rPr>
        <w:t xml:space="preserve">Киришского, </w:t>
      </w:r>
      <w:r>
        <w:rPr>
          <w:rFonts w:ascii="Times New Roman" w:hAnsi="Times New Roman"/>
          <w:color w:val="000000"/>
          <w:sz w:val="26"/>
          <w:szCs w:val="26"/>
          <w:highlight w:val="none"/>
        </w:rPr>
        <w:t xml:space="preserve">Кировского, </w:t>
      </w:r>
      <w:r>
        <w:rPr>
          <w:rFonts w:ascii="Times New Roman" w:hAnsi="Times New Roman"/>
          <w:color w:val="000000"/>
          <w:sz w:val="26"/>
          <w:szCs w:val="26"/>
          <w:highlight w:val="none"/>
        </w:rPr>
        <w:t xml:space="preserve">Подпорожского, Тосненского муниципальных районов </w:t>
      </w:r>
      <w:r>
        <w:rPr>
          <w:rFonts w:ascii="Times New Roman" w:hAnsi="Times New Roman"/>
          <w:color w:val="000000"/>
          <w:sz w:val="26"/>
          <w:szCs w:val="26"/>
          <w:highlight w:val="none"/>
        </w:rPr>
        <w:t xml:space="preserve">не изменился.</w:t>
      </w:r>
      <w:r>
        <w:rPr>
          <w:highlight w:val="none"/>
        </w:rPr>
      </w:r>
      <w:r>
        <w:rPr>
          <w:rFonts w:ascii="Times New Roman" w:hAnsi="Times New Roman"/>
          <w:color w:val="000000"/>
          <w:sz w:val="26"/>
          <w:szCs w:val="26"/>
          <w:highlight w:val="non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/>
          <w:color w:val="000000"/>
          <w:sz w:val="26"/>
          <w:szCs w:val="26"/>
          <w:highlight w:val="none"/>
        </w:rPr>
      </w:pPr>
      <w:r>
        <w:rPr>
          <w:rFonts w:ascii="Times New Roman" w:hAnsi="Times New Roman"/>
          <w:color w:val="000000"/>
          <w:sz w:val="26"/>
          <w:szCs w:val="26"/>
          <w:highlight w:val="none"/>
        </w:rPr>
        <w:t xml:space="preserve">Таким образом, общий объем субсидии из областного бюджета Ленинградской области по результатам заключения муниципальных контрактов:</w:t>
      </w:r>
      <w:r>
        <w:rPr>
          <w:highlight w:val="none"/>
        </w:rPr>
      </w:r>
      <w:r>
        <w:rPr>
          <w:rFonts w:ascii="Times New Roman" w:hAnsi="Times New Roman"/>
          <w:color w:val="000000"/>
          <w:sz w:val="26"/>
          <w:szCs w:val="26"/>
          <w:highlight w:val="non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/>
          <w:color w:val="000000"/>
          <w:sz w:val="26"/>
          <w:szCs w:val="26"/>
          <w:highlight w:val="none"/>
        </w:rPr>
      </w:pPr>
      <w:r>
        <w:rPr>
          <w:rFonts w:ascii="Times New Roman" w:hAnsi="Times New Roman"/>
          <w:color w:val="000000"/>
          <w:sz w:val="26"/>
          <w:szCs w:val="26"/>
          <w:highlight w:val="none"/>
        </w:rPr>
        <w:t xml:space="preserve">– на подготовку проектов межевания земельных участков составит                   </w:t>
      </w:r>
      <w:r>
        <w:rPr>
          <w:rFonts w:ascii="Times New Roman" w:hAnsi="Times New Roman"/>
          <w:color w:val="000000"/>
          <w:sz w:val="26"/>
          <w:szCs w:val="26"/>
          <w:highlight w:val="none"/>
        </w:rPr>
        <w:t xml:space="preserve">934,10 т</w:t>
      </w:r>
      <w:r>
        <w:rPr>
          <w:rFonts w:ascii="Times New Roman" w:hAnsi="Times New Roman"/>
          <w:color w:val="000000"/>
          <w:sz w:val="26"/>
          <w:szCs w:val="26"/>
          <w:highlight w:val="none"/>
        </w:rPr>
        <w:t xml:space="preserve">ыс. руб. в отношении 4,02 тыс. га</w:t>
      </w:r>
      <w:r>
        <w:rPr>
          <w:rFonts w:ascii="Times New Roman" w:hAnsi="Times New Roman"/>
          <w:color w:val="000000"/>
          <w:sz w:val="26"/>
          <w:szCs w:val="26"/>
          <w:highlight w:val="none"/>
        </w:rPr>
        <w:t xml:space="preserve">;</w:t>
      </w:r>
      <w:r>
        <w:rPr>
          <w:rFonts w:ascii="Times New Roman" w:hAnsi="Times New Roman"/>
          <w:color w:val="000000"/>
          <w:sz w:val="26"/>
          <w:szCs w:val="26"/>
          <w:highlight w:val="none"/>
        </w:rPr>
      </w:r>
      <w:r>
        <w:rPr>
          <w:rFonts w:ascii="Times New Roman" w:hAnsi="Times New Roman"/>
          <w:color w:val="000000"/>
          <w:sz w:val="26"/>
          <w:szCs w:val="26"/>
          <w:highlight w:val="non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/>
          <w:color w:val="000000"/>
          <w:sz w:val="26"/>
          <w:szCs w:val="26"/>
          <w:highlight w:val="none"/>
        </w:rPr>
      </w:pPr>
      <w:r>
        <w:rPr>
          <w:rFonts w:ascii="Times New Roman" w:hAnsi="Times New Roman"/>
          <w:color w:val="000000"/>
          <w:sz w:val="26"/>
          <w:szCs w:val="26"/>
          <w:highlight w:val="none"/>
        </w:rPr>
        <w:t xml:space="preserve">– на проведение кадастровых работ составит </w:t>
      </w:r>
      <w:r>
        <w:rPr>
          <w:rFonts w:ascii="Times New Roman" w:hAnsi="Times New Roman"/>
          <w:color w:val="000000"/>
          <w:sz w:val="26"/>
          <w:szCs w:val="26"/>
          <w:highlight w:val="none"/>
        </w:rPr>
        <w:t xml:space="preserve">3441,90</w:t>
      </w:r>
      <w:r>
        <w:rPr>
          <w:rFonts w:ascii="Times New Roman" w:hAnsi="Times New Roman"/>
          <w:color w:val="000000"/>
          <w:sz w:val="26"/>
          <w:szCs w:val="26"/>
          <w:highlight w:val="none"/>
        </w:rPr>
        <w:t xml:space="preserve"> тыс. руб. в отношении                         </w:t>
      </w:r>
      <w:r>
        <w:rPr>
          <w:rFonts w:ascii="Times New Roman" w:hAnsi="Times New Roman"/>
          <w:color w:val="000000"/>
          <w:sz w:val="26"/>
          <w:szCs w:val="26"/>
          <w:highlight w:val="none"/>
        </w:rPr>
        <w:t xml:space="preserve">7,48</w:t>
      </w:r>
      <w:r>
        <w:rPr>
          <w:rFonts w:ascii="Times New Roman" w:hAnsi="Times New Roman"/>
          <w:color w:val="000000"/>
          <w:sz w:val="26"/>
          <w:szCs w:val="26"/>
          <w:highlight w:val="none"/>
        </w:rPr>
        <w:t xml:space="preserve"> тыс. га</w:t>
      </w:r>
      <w:r>
        <w:rPr>
          <w:rFonts w:ascii="Times New Roman" w:hAnsi="Times New Roman"/>
          <w:color w:val="000000"/>
          <w:sz w:val="26"/>
          <w:szCs w:val="26"/>
          <w:highlight w:val="none"/>
        </w:rPr>
        <w:t xml:space="preserve">.</w:t>
      </w:r>
      <w:r>
        <w:rPr>
          <w:highlight w:val="none"/>
        </w:rPr>
      </w:r>
      <w:r>
        <w:rPr>
          <w:rFonts w:ascii="Times New Roman" w:hAnsi="Times New Roman"/>
          <w:color w:val="000000"/>
          <w:sz w:val="26"/>
          <w:szCs w:val="26"/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color w:val="000000"/>
          <w:sz w:val="26"/>
          <w:szCs w:val="26"/>
          <w:highlight w:val="none"/>
        </w:rPr>
      </w:pPr>
      <w:r>
        <w:rPr>
          <w:rFonts w:ascii="Times New Roman" w:hAnsi="Times New Roman"/>
          <w:color w:val="000000"/>
          <w:sz w:val="26"/>
          <w:szCs w:val="26"/>
          <w:highlight w:val="none"/>
        </w:rPr>
        <w:t xml:space="preserve">Общая сумма распределенной субсидии на подготовку проектов межевания земельных участков в размере </w:t>
      </w:r>
      <w:r>
        <w:rPr>
          <w:rFonts w:ascii="Times New Roman" w:hAnsi="Times New Roman"/>
          <w:color w:val="000000"/>
          <w:sz w:val="26"/>
          <w:szCs w:val="26"/>
          <w:highlight w:val="none"/>
        </w:rPr>
        <w:t xml:space="preserve">934,10</w:t>
      </w:r>
      <w:r>
        <w:rPr>
          <w:rFonts w:ascii="Times New Roman" w:hAnsi="Times New Roman"/>
          <w:color w:val="000000"/>
          <w:sz w:val="26"/>
          <w:szCs w:val="26"/>
          <w:highlight w:val="none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  <w:highlight w:val="none"/>
        </w:rPr>
        <w:t xml:space="preserve">тыс. руб. позволит выполнить установленный Минсельхозом России целевой показатель </w:t>
      </w:r>
      <w:r>
        <w:rPr>
          <w:rFonts w:ascii="Times New Roman" w:hAnsi="Times New Roman"/>
          <w:color w:val="000000"/>
          <w:sz w:val="26"/>
          <w:szCs w:val="26"/>
          <w:highlight w:val="none"/>
        </w:rPr>
        <w:t xml:space="preserve">"Подготовлены проекты межевания земельных участков, выделяемых в счет земельных долей, находящихся в государственной или муниципальной собственности"</w:t>
      </w:r>
      <w:r>
        <w:rPr>
          <w:rFonts w:ascii="Times New Roman" w:hAnsi="Times New Roman"/>
          <w:color w:val="000000"/>
          <w:sz w:val="26"/>
          <w:szCs w:val="26"/>
          <w:highlight w:val="none"/>
        </w:rPr>
        <w:t xml:space="preserve">.</w:t>
      </w:r>
      <w:r>
        <w:rPr>
          <w:rFonts w:ascii="Times New Roman" w:hAnsi="Times New Roman"/>
          <w:color w:val="000000"/>
          <w:sz w:val="26"/>
          <w:szCs w:val="26"/>
          <w:highlight w:val="none"/>
        </w:rPr>
      </w:r>
      <w:r>
        <w:rPr>
          <w:rFonts w:ascii="Times New Roman" w:hAnsi="Times New Roman"/>
          <w:color w:val="000000"/>
          <w:sz w:val="26"/>
          <w:szCs w:val="26"/>
          <w:highlight w:val="non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/>
          <w:color w:val="000000"/>
          <w:sz w:val="26"/>
          <w:szCs w:val="26"/>
          <w:highlight w:val="none"/>
        </w:rPr>
      </w:pPr>
      <w:r>
        <w:rPr>
          <w:rFonts w:ascii="Times New Roman" w:hAnsi="Times New Roman"/>
          <w:color w:val="000000"/>
          <w:sz w:val="26"/>
          <w:szCs w:val="26"/>
          <w:highlight w:val="none"/>
        </w:rPr>
        <w:t xml:space="preserve">Общая сумма распределе</w:t>
      </w:r>
      <w:r>
        <w:rPr>
          <w:rFonts w:ascii="Times New Roman" w:hAnsi="Times New Roman"/>
          <w:color w:val="000000"/>
          <w:sz w:val="26"/>
          <w:szCs w:val="26"/>
          <w:highlight w:val="none"/>
        </w:rPr>
        <w:t xml:space="preserve">нной субсидии на проведение кадастровых работ в размере </w:t>
      </w:r>
      <w:r>
        <w:rPr>
          <w:rFonts w:ascii="Times New Roman" w:hAnsi="Times New Roman"/>
          <w:color w:val="000000"/>
          <w:sz w:val="26"/>
          <w:szCs w:val="26"/>
          <w:highlight w:val="none"/>
        </w:rPr>
        <w:t xml:space="preserve">3441,90</w:t>
      </w:r>
      <w:r>
        <w:rPr>
          <w:rFonts w:ascii="Times New Roman" w:hAnsi="Times New Roman"/>
          <w:color w:val="000000"/>
          <w:sz w:val="26"/>
          <w:szCs w:val="26"/>
          <w:highlight w:val="none"/>
        </w:rPr>
        <w:t xml:space="preserve"> т</w:t>
      </w:r>
      <w:r>
        <w:rPr>
          <w:rFonts w:ascii="Times New Roman" w:hAnsi="Times New Roman"/>
          <w:color w:val="000000"/>
          <w:sz w:val="26"/>
          <w:szCs w:val="26"/>
          <w:highlight w:val="none"/>
        </w:rPr>
        <w:t xml:space="preserve">ыс. руб. позволит выполнить установленный Минсельхозом России целевой показатель </w:t>
      </w:r>
      <w:r>
        <w:rPr>
          <w:rFonts w:ascii="Times New Roman" w:hAnsi="Times New Roman"/>
          <w:color w:val="000000"/>
          <w:sz w:val="26"/>
          <w:szCs w:val="26"/>
          <w:highlight w:val="none"/>
        </w:rPr>
        <w:t xml:space="preserve">"</w:t>
      </w:r>
      <w:r>
        <w:rPr>
          <w:rFonts w:ascii="Times New Roman" w:hAnsi="Times New Roman"/>
          <w:color w:val="000000"/>
          <w:sz w:val="26"/>
          <w:szCs w:val="26"/>
          <w:highlight w:val="none"/>
        </w:rPr>
        <w:t xml:space="preserve">Осуществлен государственный кадастровый учет земельных участков, государственная собственность на которые не разграничена, из состава земель сельскохозяйственного назначения, земельных участков, выделяемых в счет земельных долей, находящихся в государствен</w:t>
      </w:r>
      <w:r>
        <w:rPr>
          <w:rFonts w:ascii="Times New Roman" w:hAnsi="Times New Roman"/>
          <w:color w:val="000000"/>
          <w:sz w:val="26"/>
          <w:szCs w:val="26"/>
          <w:highlight w:val="none"/>
        </w:rPr>
        <w:t xml:space="preserve">ной или муниципальной собственности, и земельных участков, находящихся в государственной или муниципальной собственности, свободных от прав третьих лиц и объектов недвижимого имущества".</w:t>
      </w:r>
      <w:r>
        <w:rPr>
          <w:rFonts w:ascii="Times New Roman" w:hAnsi="Times New Roman"/>
          <w:color w:val="000000"/>
          <w:sz w:val="26"/>
          <w:szCs w:val="26"/>
          <w:highlight w:val="none"/>
        </w:rPr>
      </w:r>
      <w:r>
        <w:rPr>
          <w:rFonts w:ascii="Times New Roman" w:hAnsi="Times New Roman"/>
          <w:color w:val="000000"/>
          <w:sz w:val="26"/>
          <w:szCs w:val="26"/>
          <w:highlight w:val="none"/>
        </w:rPr>
      </w:r>
    </w:p>
    <w:p>
      <w:pPr>
        <w:pStyle w:val="763"/>
        <w:ind w:right="-1" w:firstLine="709"/>
        <w:jc w:val="both"/>
        <w:spacing w:after="0" w:line="240" w:lineRule="auto"/>
        <w:rPr>
          <w:rFonts w:ascii="Times New Roman" w:hAnsi="Times New Roman"/>
          <w:sz w:val="27"/>
          <w:szCs w:val="27"/>
          <w:highlight w:val="none"/>
        </w:rPr>
      </w:pPr>
      <w:r>
        <w:rPr>
          <w:rFonts w:ascii="Times New Roman" w:hAnsi="Times New Roman"/>
          <w:sz w:val="27"/>
          <w:szCs w:val="27"/>
          <w:highlight w:val="none"/>
        </w:rPr>
        <w:t xml:space="preserve">В июле 2026 </w:t>
      </w:r>
      <w:r>
        <w:rPr>
          <w:rFonts w:ascii="Times New Roman" w:hAnsi="Times New Roman"/>
          <w:sz w:val="27"/>
          <w:szCs w:val="27"/>
          <w:highlight w:val="none"/>
        </w:rPr>
        <w:t xml:space="preserve">комитетом в адрес Минсельхоза России будет </w:t>
      </w:r>
      <w:r>
        <w:rPr>
          <w:rFonts w:ascii="Times New Roman" w:hAnsi="Times New Roman"/>
          <w:sz w:val="27"/>
          <w:szCs w:val="27"/>
          <w:highlight w:val="none"/>
        </w:rPr>
        <w:t xml:space="preserve">направлено</w:t>
      </w:r>
      <w:r>
        <w:rPr>
          <w:rFonts w:ascii="Times New Roman" w:hAnsi="Times New Roman"/>
          <w:sz w:val="27"/>
          <w:szCs w:val="27"/>
          <w:highlight w:val="none"/>
        </w:rPr>
        <w:t xml:space="preserve"> обращени</w:t>
      </w:r>
      <w:r>
        <w:rPr>
          <w:rFonts w:ascii="Times New Roman" w:hAnsi="Times New Roman"/>
          <w:sz w:val="27"/>
          <w:szCs w:val="27"/>
          <w:highlight w:val="none"/>
        </w:rPr>
        <w:t xml:space="preserve">е о</w:t>
      </w:r>
      <w:r>
        <w:rPr>
          <w:rFonts w:ascii="Times New Roman" w:hAnsi="Times New Roman"/>
          <w:sz w:val="27"/>
          <w:szCs w:val="27"/>
          <w:highlight w:val="none"/>
        </w:rPr>
        <w:t xml:space="preserve">б уменьшении бюджетных ассигнований на размер </w:t>
      </w:r>
      <w:r>
        <w:rPr>
          <w:rFonts w:ascii="Times New Roman" w:hAnsi="Times New Roman"/>
          <w:sz w:val="27"/>
          <w:szCs w:val="27"/>
          <w:highlight w:val="none"/>
        </w:rPr>
        <w:t xml:space="preserve">нераспределенной субсидии </w:t>
      </w:r>
      <w:r>
        <w:rPr>
          <w:rFonts w:ascii="Times New Roman" w:hAnsi="Times New Roman"/>
          <w:color w:val="000000"/>
          <w:sz w:val="27"/>
          <w:szCs w:val="27"/>
          <w:highlight w:val="none"/>
        </w:rPr>
        <w:t xml:space="preserve">на подготовку проектов межевания земельных участков и </w:t>
      </w:r>
      <w:r>
        <w:rPr>
          <w:rFonts w:ascii="Times New Roman" w:hAnsi="Times New Roman"/>
          <w:sz w:val="27"/>
          <w:szCs w:val="27"/>
          <w:highlight w:val="none"/>
        </w:rPr>
        <w:t xml:space="preserve">на проведение кадастровых работ</w:t>
      </w:r>
      <w:r>
        <w:rPr>
          <w:rFonts w:ascii="Times New Roman" w:hAnsi="Times New Roman"/>
          <w:sz w:val="27"/>
          <w:szCs w:val="27"/>
          <w:highlight w:val="none"/>
        </w:rPr>
        <w:t xml:space="preserve">.</w:t>
      </w:r>
      <w:r>
        <w:rPr>
          <w:rFonts w:ascii="Times New Roman" w:hAnsi="Times New Roman"/>
          <w:sz w:val="27"/>
          <w:szCs w:val="27"/>
          <w:highlight w:val="none"/>
        </w:rPr>
      </w:r>
      <w:r>
        <w:rPr>
          <w:rFonts w:ascii="Times New Roman" w:hAnsi="Times New Roman"/>
          <w:sz w:val="27"/>
          <w:szCs w:val="27"/>
          <w:highlight w:val="none"/>
        </w:rPr>
      </w:r>
    </w:p>
    <w:p>
      <w:pPr>
        <w:ind w:firstLine="708"/>
        <w:jc w:val="both"/>
        <w:spacing w:after="0" w:line="240" w:lineRule="auto"/>
        <w:rPr>
          <w:highlight w:val="none"/>
        </w:rPr>
      </w:pPr>
      <w:r>
        <w:rPr>
          <w:rFonts w:ascii="Times New Roman" w:hAnsi="Times New Roman"/>
          <w:sz w:val="27"/>
          <w:szCs w:val="27"/>
          <w:highlight w:val="none"/>
        </w:rPr>
        <w:t xml:space="preserve">Проведение процедуры оценки регулирующего воздействия не требуется, поскольку проект не затрагивает вопросы предпринимательской</w:t>
      </w:r>
      <w:r>
        <w:rPr>
          <w:rFonts w:ascii="Times New Roman" w:hAnsi="Times New Roman"/>
          <w:sz w:val="27"/>
          <w:szCs w:val="27"/>
          <w:highlight w:val="none"/>
        </w:rPr>
        <w:t xml:space="preserve"> </w:t>
      </w:r>
      <w:r>
        <w:rPr>
          <w:rFonts w:ascii="Times New Roman" w:hAnsi="Times New Roman"/>
          <w:sz w:val="27"/>
          <w:szCs w:val="27"/>
          <w:highlight w:val="none"/>
        </w:rPr>
        <w:t xml:space="preserve">и инвестиционной деятельности.</w:t>
      </w:r>
      <w:r>
        <w:rPr>
          <w:highlight w:val="none"/>
        </w:rPr>
      </w:r>
      <w:r>
        <w:rPr>
          <w:highlight w:val="none"/>
        </w:rPr>
      </w:r>
    </w:p>
    <w:p>
      <w:pPr>
        <w:ind w:right="-1"/>
        <w:jc w:val="both"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</w:p>
    <w:p>
      <w:pPr>
        <w:ind w:right="-1"/>
        <w:jc w:val="both"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</w:p>
    <w:p>
      <w:pPr>
        <w:ind w:right="-1"/>
        <w:jc w:val="both"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</w:p>
    <w:p>
      <w:pPr>
        <w:ind w:right="-1"/>
        <w:jc w:val="both"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Председатель </w:t>
      </w:r>
      <w:r>
        <w:rPr>
          <w:rFonts w:ascii="Times New Roman" w:hAnsi="Times New Roman"/>
          <w:sz w:val="26"/>
          <w:szCs w:val="26"/>
        </w:rPr>
        <w:t xml:space="preserve">Ленинградского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</w:p>
    <w:p>
      <w:pPr>
        <w:ind w:right="-1"/>
        <w:jc w:val="both"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областного комитета по управлению </w:t>
      </w: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</w:p>
    <w:p>
      <w:pPr>
        <w:ind w:right="-1"/>
        <w:jc w:val="both"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государственным имуществом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     М.Р. </w:t>
      </w:r>
      <w:r>
        <w:rPr>
          <w:rFonts w:ascii="Times New Roman" w:hAnsi="Times New Roman"/>
          <w:sz w:val="26"/>
          <w:szCs w:val="26"/>
        </w:rPr>
        <w:t xml:space="preserve">Тоноян</w:t>
      </w: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</w:p>
    <w:p>
      <w:pPr>
        <w:ind w:right="-1"/>
        <w:jc w:val="both"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</w:p>
    <w:p>
      <w:pPr>
        <w:ind w:right="-1"/>
        <w:jc w:val="both"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</w:p>
    <w:p>
      <w:pPr>
        <w:ind w:right="-1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ind w:right="-1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ind w:right="-1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ind w:right="-1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ind w:right="-1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ind w:right="-1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ind w:right="-1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ind w:right="-1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ind w:right="-1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ind w:right="-1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ind w:right="-1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ind w:right="-1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ind w:right="-1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ind w:right="-1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ind w:right="-1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ind w:right="-1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ind w:right="-1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ind w:right="-1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ind w:right="-1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ind w:right="-1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ind w:right="-1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ind w:right="-1"/>
        <w:jc w:val="both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Шемчак А.В.</w: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ind w:right="-1"/>
        <w:jc w:val="both"/>
        <w:spacing w:after="0" w:line="240" w:lineRule="auto"/>
        <w:rPr>
          <w:rFonts w:ascii="Times New Roman" w:hAnsi="Times New Roman"/>
          <w:sz w:val="20"/>
          <w:szCs w:val="20"/>
          <w:highlight w:val="none"/>
        </w:rPr>
      </w:pPr>
      <w:r>
        <w:rPr>
          <w:rFonts w:ascii="Times New Roman" w:hAnsi="Times New Roman"/>
          <w:sz w:val="20"/>
          <w:szCs w:val="20"/>
        </w:rPr>
        <w:t xml:space="preserve">539-41-38</w:t>
      </w:r>
      <w:r>
        <w:rPr>
          <w:rFonts w:ascii="Times New Roman" w:hAnsi="Times New Roman"/>
          <w:sz w:val="20"/>
          <w:szCs w:val="20"/>
          <w:highlight w:val="none"/>
        </w:rPr>
      </w:r>
      <w:r>
        <w:rPr>
          <w:rFonts w:ascii="Times New Roman" w:hAnsi="Times New Roman"/>
          <w:sz w:val="20"/>
          <w:szCs w:val="20"/>
          <w:highlight w:val="none"/>
        </w:rPr>
      </w:r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w="11906" w:h="16838" w:orient="portrait"/>
      <w:pgMar w:top="1134" w:right="851" w:bottom="1134" w:left="1247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Cambria">
    <w:panose1 w:val="0204080305040603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97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95"/>
      <w:jc w:val="center"/>
    </w:pPr>
    <w:fldSimple w:instr="PAGE \* MERGEFORMAT">
      <w:r>
        <w:t xml:space="preserve">1</w:t>
      </w:r>
    </w:fldSimple>
    <w:r/>
    <w:r/>
  </w:p>
  <w:p>
    <w:pPr>
      <w:pStyle w:val="795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95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6">
    <w:multiLevelType w:val="hybridMultilevel"/>
    <w:lvl w:ilvl="0">
      <w:start w:val="65535"/>
      <w:numFmt w:val="bullet"/>
      <w:isLgl w:val="false"/>
      <w:suff w:val="tab"/>
      <w:lvlText w:val="−"/>
      <w:lvlJc w:val="left"/>
      <w:pPr>
        <w:ind w:left="1429" w:hanging="360"/>
      </w:pPr>
      <w:rPr>
        <w:rFonts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2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2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11"/>
  </w:num>
  <w:num w:numId="2">
    <w:abstractNumId w:val="9"/>
  </w:num>
  <w:num w:numId="3">
    <w:abstractNumId w:val="6"/>
  </w:num>
  <w:num w:numId="4">
    <w:abstractNumId w:val="5"/>
  </w:num>
  <w:num w:numId="5">
    <w:abstractNumId w:val="10"/>
  </w:num>
  <w:num w:numId="6">
    <w:abstractNumId w:val="3"/>
  </w:num>
  <w:num w:numId="7">
    <w:abstractNumId w:val="4"/>
  </w:num>
  <w:num w:numId="8">
    <w:abstractNumId w:val="1"/>
  </w:num>
  <w:num w:numId="9">
    <w:abstractNumId w:val="7"/>
  </w:num>
  <w:num w:numId="10">
    <w:abstractNumId w:val="2"/>
  </w:num>
  <w:num w:numId="11">
    <w:abstractNumId w:val="12"/>
  </w:num>
  <w:num w:numId="12">
    <w:abstractNumId w:val="8"/>
  </w:num>
  <w:num w:numId="13">
    <w:abstractNumId w:val="0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47">
    <w:name w:val="Heading 2 Char"/>
    <w:basedOn w:val="773"/>
    <w:link w:val="765"/>
    <w:uiPriority w:val="9"/>
    <w:rPr>
      <w:rFonts w:ascii="Arial" w:hAnsi="Arial" w:eastAsia="Arial" w:cs="Arial"/>
      <w:sz w:val="34"/>
    </w:rPr>
  </w:style>
  <w:style w:type="character" w:styleId="748">
    <w:name w:val="Heading 3 Char"/>
    <w:basedOn w:val="773"/>
    <w:link w:val="766"/>
    <w:uiPriority w:val="9"/>
    <w:rPr>
      <w:rFonts w:ascii="Arial" w:hAnsi="Arial" w:eastAsia="Arial" w:cs="Arial"/>
      <w:sz w:val="30"/>
      <w:szCs w:val="30"/>
    </w:rPr>
  </w:style>
  <w:style w:type="character" w:styleId="749">
    <w:name w:val="Heading 4 Char"/>
    <w:basedOn w:val="773"/>
    <w:link w:val="767"/>
    <w:uiPriority w:val="9"/>
    <w:rPr>
      <w:rFonts w:ascii="Arial" w:hAnsi="Arial" w:eastAsia="Arial" w:cs="Arial"/>
      <w:b/>
      <w:bCs/>
      <w:sz w:val="26"/>
      <w:szCs w:val="26"/>
    </w:rPr>
  </w:style>
  <w:style w:type="character" w:styleId="750">
    <w:name w:val="Heading 5 Char"/>
    <w:basedOn w:val="773"/>
    <w:link w:val="768"/>
    <w:uiPriority w:val="9"/>
    <w:rPr>
      <w:rFonts w:ascii="Arial" w:hAnsi="Arial" w:eastAsia="Arial" w:cs="Arial"/>
      <w:b/>
      <w:bCs/>
      <w:sz w:val="24"/>
      <w:szCs w:val="24"/>
    </w:rPr>
  </w:style>
  <w:style w:type="character" w:styleId="751">
    <w:name w:val="Heading 6 Char"/>
    <w:basedOn w:val="773"/>
    <w:link w:val="769"/>
    <w:uiPriority w:val="9"/>
    <w:rPr>
      <w:rFonts w:ascii="Arial" w:hAnsi="Arial" w:eastAsia="Arial" w:cs="Arial"/>
      <w:b/>
      <w:bCs/>
      <w:sz w:val="22"/>
      <w:szCs w:val="22"/>
    </w:rPr>
  </w:style>
  <w:style w:type="character" w:styleId="752">
    <w:name w:val="Heading 7 Char"/>
    <w:basedOn w:val="773"/>
    <w:link w:val="77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53">
    <w:name w:val="Heading 8 Char"/>
    <w:basedOn w:val="773"/>
    <w:link w:val="771"/>
    <w:uiPriority w:val="9"/>
    <w:rPr>
      <w:rFonts w:ascii="Arial" w:hAnsi="Arial" w:eastAsia="Arial" w:cs="Arial"/>
      <w:i/>
      <w:iCs/>
      <w:sz w:val="22"/>
      <w:szCs w:val="22"/>
    </w:rPr>
  </w:style>
  <w:style w:type="character" w:styleId="754">
    <w:name w:val="Heading 9 Char"/>
    <w:basedOn w:val="773"/>
    <w:link w:val="772"/>
    <w:uiPriority w:val="9"/>
    <w:rPr>
      <w:rFonts w:ascii="Arial" w:hAnsi="Arial" w:eastAsia="Arial" w:cs="Arial"/>
      <w:i/>
      <w:iCs/>
      <w:sz w:val="21"/>
      <w:szCs w:val="21"/>
    </w:rPr>
  </w:style>
  <w:style w:type="character" w:styleId="755">
    <w:name w:val="Title Char"/>
    <w:basedOn w:val="773"/>
    <w:link w:val="787"/>
    <w:uiPriority w:val="10"/>
    <w:rPr>
      <w:sz w:val="48"/>
      <w:szCs w:val="48"/>
    </w:rPr>
  </w:style>
  <w:style w:type="character" w:styleId="756">
    <w:name w:val="Subtitle Char"/>
    <w:basedOn w:val="773"/>
    <w:link w:val="789"/>
    <w:uiPriority w:val="11"/>
    <w:rPr>
      <w:sz w:val="24"/>
      <w:szCs w:val="24"/>
    </w:rPr>
  </w:style>
  <w:style w:type="character" w:styleId="757">
    <w:name w:val="Quote Char"/>
    <w:link w:val="791"/>
    <w:uiPriority w:val="29"/>
    <w:rPr>
      <w:i/>
    </w:rPr>
  </w:style>
  <w:style w:type="character" w:styleId="758">
    <w:name w:val="Intense Quote Char"/>
    <w:link w:val="793"/>
    <w:uiPriority w:val="30"/>
    <w:rPr>
      <w:i/>
    </w:rPr>
  </w:style>
  <w:style w:type="character" w:styleId="759">
    <w:name w:val="Header Char"/>
    <w:basedOn w:val="773"/>
    <w:link w:val="795"/>
    <w:uiPriority w:val="99"/>
  </w:style>
  <w:style w:type="character" w:styleId="760">
    <w:name w:val="Footer Char"/>
    <w:basedOn w:val="773"/>
    <w:link w:val="797"/>
    <w:uiPriority w:val="99"/>
  </w:style>
  <w:style w:type="character" w:styleId="761">
    <w:name w:val="Caption Char"/>
    <w:basedOn w:val="773"/>
    <w:link w:val="799"/>
    <w:uiPriority w:val="35"/>
    <w:rPr>
      <w:b/>
      <w:bCs/>
      <w:color w:val="4f81bd" w:themeColor="accent1"/>
      <w:sz w:val="18"/>
      <w:szCs w:val="18"/>
    </w:rPr>
  </w:style>
  <w:style w:type="character" w:styleId="762">
    <w:name w:val="Endnote Text Char"/>
    <w:link w:val="931"/>
    <w:uiPriority w:val="99"/>
    <w:rPr>
      <w:sz w:val="20"/>
    </w:rPr>
  </w:style>
  <w:style w:type="paragraph" w:styleId="763" w:default="1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764">
    <w:name w:val="Heading 1"/>
    <w:basedOn w:val="763"/>
    <w:next w:val="763"/>
    <w:link w:val="947"/>
    <w:uiPriority w:val="9"/>
    <w:qFormat/>
    <w:pPr>
      <w:keepNext/>
      <w:spacing w:before="240" w:after="60"/>
      <w:outlineLvl w:val="0"/>
    </w:pPr>
    <w:rPr>
      <w:rFonts w:ascii="Cambria" w:hAnsi="Cambria" w:eastAsia="Times New Roman"/>
      <w:b/>
      <w:bCs/>
      <w:sz w:val="32"/>
      <w:szCs w:val="32"/>
    </w:rPr>
  </w:style>
  <w:style w:type="paragraph" w:styleId="765">
    <w:name w:val="Heading 2"/>
    <w:basedOn w:val="763"/>
    <w:next w:val="763"/>
    <w:link w:val="77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766">
    <w:name w:val="Heading 3"/>
    <w:basedOn w:val="763"/>
    <w:next w:val="763"/>
    <w:link w:val="77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67">
    <w:name w:val="Heading 4"/>
    <w:basedOn w:val="763"/>
    <w:next w:val="763"/>
    <w:link w:val="77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68">
    <w:name w:val="Heading 5"/>
    <w:basedOn w:val="763"/>
    <w:next w:val="763"/>
    <w:link w:val="78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69">
    <w:name w:val="Heading 6"/>
    <w:basedOn w:val="763"/>
    <w:next w:val="763"/>
    <w:link w:val="78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</w:rPr>
  </w:style>
  <w:style w:type="paragraph" w:styleId="770">
    <w:name w:val="Heading 7"/>
    <w:basedOn w:val="763"/>
    <w:next w:val="763"/>
    <w:link w:val="78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</w:rPr>
  </w:style>
  <w:style w:type="paragraph" w:styleId="771">
    <w:name w:val="Heading 8"/>
    <w:basedOn w:val="763"/>
    <w:next w:val="763"/>
    <w:link w:val="78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</w:rPr>
  </w:style>
  <w:style w:type="paragraph" w:styleId="772">
    <w:name w:val="Heading 9"/>
    <w:basedOn w:val="763"/>
    <w:next w:val="763"/>
    <w:link w:val="784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73" w:default="1">
    <w:name w:val="Default Paragraph Font"/>
    <w:uiPriority w:val="1"/>
    <w:semiHidden/>
    <w:unhideWhenUsed/>
  </w:style>
  <w:style w:type="table" w:styleId="77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75" w:default="1">
    <w:name w:val="No List"/>
    <w:uiPriority w:val="99"/>
    <w:semiHidden/>
    <w:unhideWhenUsed/>
  </w:style>
  <w:style w:type="character" w:styleId="776" w:customStyle="1">
    <w:name w:val="Heading 1 Char"/>
    <w:uiPriority w:val="9"/>
    <w:rPr>
      <w:rFonts w:ascii="Arial" w:hAnsi="Arial" w:eastAsia="Arial" w:cs="Arial"/>
      <w:sz w:val="40"/>
      <w:szCs w:val="40"/>
    </w:rPr>
  </w:style>
  <w:style w:type="character" w:styleId="777" w:customStyle="1">
    <w:name w:val="Заголовок 2 Знак"/>
    <w:link w:val="765"/>
    <w:uiPriority w:val="9"/>
    <w:rPr>
      <w:rFonts w:ascii="Arial" w:hAnsi="Arial" w:eastAsia="Arial" w:cs="Arial"/>
      <w:sz w:val="34"/>
    </w:rPr>
  </w:style>
  <w:style w:type="character" w:styleId="778" w:customStyle="1">
    <w:name w:val="Заголовок 3 Знак"/>
    <w:link w:val="766"/>
    <w:uiPriority w:val="9"/>
    <w:rPr>
      <w:rFonts w:ascii="Arial" w:hAnsi="Arial" w:eastAsia="Arial" w:cs="Arial"/>
      <w:sz w:val="30"/>
      <w:szCs w:val="30"/>
    </w:rPr>
  </w:style>
  <w:style w:type="character" w:styleId="779" w:customStyle="1">
    <w:name w:val="Заголовок 4 Знак"/>
    <w:link w:val="767"/>
    <w:uiPriority w:val="9"/>
    <w:rPr>
      <w:rFonts w:ascii="Arial" w:hAnsi="Arial" w:eastAsia="Arial" w:cs="Arial"/>
      <w:b/>
      <w:bCs/>
      <w:sz w:val="26"/>
      <w:szCs w:val="26"/>
    </w:rPr>
  </w:style>
  <w:style w:type="character" w:styleId="780" w:customStyle="1">
    <w:name w:val="Заголовок 5 Знак"/>
    <w:link w:val="768"/>
    <w:uiPriority w:val="9"/>
    <w:rPr>
      <w:rFonts w:ascii="Arial" w:hAnsi="Arial" w:eastAsia="Arial" w:cs="Arial"/>
      <w:b/>
      <w:bCs/>
      <w:sz w:val="24"/>
      <w:szCs w:val="24"/>
    </w:rPr>
  </w:style>
  <w:style w:type="character" w:styleId="781" w:customStyle="1">
    <w:name w:val="Заголовок 6 Знак"/>
    <w:link w:val="769"/>
    <w:uiPriority w:val="9"/>
    <w:rPr>
      <w:rFonts w:ascii="Arial" w:hAnsi="Arial" w:eastAsia="Arial" w:cs="Arial"/>
      <w:b/>
      <w:bCs/>
      <w:sz w:val="22"/>
      <w:szCs w:val="22"/>
    </w:rPr>
  </w:style>
  <w:style w:type="character" w:styleId="782" w:customStyle="1">
    <w:name w:val="Заголовок 7 Знак"/>
    <w:link w:val="77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83" w:customStyle="1">
    <w:name w:val="Заголовок 8 Знак"/>
    <w:link w:val="771"/>
    <w:uiPriority w:val="9"/>
    <w:rPr>
      <w:rFonts w:ascii="Arial" w:hAnsi="Arial" w:eastAsia="Arial" w:cs="Arial"/>
      <w:i/>
      <w:iCs/>
      <w:sz w:val="22"/>
      <w:szCs w:val="22"/>
    </w:rPr>
  </w:style>
  <w:style w:type="character" w:styleId="784" w:customStyle="1">
    <w:name w:val="Заголовок 9 Знак"/>
    <w:link w:val="772"/>
    <w:uiPriority w:val="9"/>
    <w:rPr>
      <w:rFonts w:ascii="Arial" w:hAnsi="Arial" w:eastAsia="Arial" w:cs="Arial"/>
      <w:i/>
      <w:iCs/>
      <w:sz w:val="21"/>
      <w:szCs w:val="21"/>
    </w:rPr>
  </w:style>
  <w:style w:type="paragraph" w:styleId="785">
    <w:name w:val="List Paragraph"/>
    <w:basedOn w:val="763"/>
    <w:uiPriority w:val="34"/>
    <w:qFormat/>
    <w:pPr>
      <w:contextualSpacing/>
      <w:ind w:left="720"/>
    </w:pPr>
  </w:style>
  <w:style w:type="paragraph" w:styleId="786">
    <w:name w:val="No Spacing"/>
    <w:uiPriority w:val="1"/>
    <w:qFormat/>
    <w:rPr>
      <w:lang w:eastAsia="zh-CN"/>
    </w:rPr>
  </w:style>
  <w:style w:type="paragraph" w:styleId="787">
    <w:name w:val="Title"/>
    <w:basedOn w:val="763"/>
    <w:next w:val="763"/>
    <w:link w:val="78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88" w:customStyle="1">
    <w:name w:val="Название Знак"/>
    <w:link w:val="787"/>
    <w:uiPriority w:val="10"/>
    <w:rPr>
      <w:sz w:val="48"/>
      <w:szCs w:val="48"/>
    </w:rPr>
  </w:style>
  <w:style w:type="paragraph" w:styleId="789">
    <w:name w:val="Subtitle"/>
    <w:basedOn w:val="763"/>
    <w:next w:val="763"/>
    <w:link w:val="790"/>
    <w:uiPriority w:val="11"/>
    <w:qFormat/>
    <w:pPr>
      <w:spacing w:before="200" w:after="200"/>
    </w:pPr>
    <w:rPr>
      <w:sz w:val="24"/>
      <w:szCs w:val="24"/>
    </w:rPr>
  </w:style>
  <w:style w:type="character" w:styleId="790" w:customStyle="1">
    <w:name w:val="Подзаголовок Знак"/>
    <w:link w:val="789"/>
    <w:uiPriority w:val="11"/>
    <w:rPr>
      <w:sz w:val="24"/>
      <w:szCs w:val="24"/>
    </w:rPr>
  </w:style>
  <w:style w:type="paragraph" w:styleId="791">
    <w:name w:val="Quote"/>
    <w:basedOn w:val="763"/>
    <w:next w:val="763"/>
    <w:link w:val="792"/>
    <w:uiPriority w:val="29"/>
    <w:qFormat/>
    <w:pPr>
      <w:ind w:left="720" w:right="720"/>
    </w:pPr>
    <w:rPr>
      <w:i/>
    </w:rPr>
  </w:style>
  <w:style w:type="character" w:styleId="792" w:customStyle="1">
    <w:name w:val="Цитата 2 Знак"/>
    <w:link w:val="791"/>
    <w:uiPriority w:val="29"/>
    <w:rPr>
      <w:i/>
    </w:rPr>
  </w:style>
  <w:style w:type="paragraph" w:styleId="793">
    <w:name w:val="Intense Quote"/>
    <w:basedOn w:val="763"/>
    <w:next w:val="763"/>
    <w:link w:val="794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94" w:customStyle="1">
    <w:name w:val="Выделенная цитата Знак"/>
    <w:link w:val="793"/>
    <w:uiPriority w:val="30"/>
    <w:rPr>
      <w:i/>
    </w:rPr>
  </w:style>
  <w:style w:type="paragraph" w:styleId="795">
    <w:name w:val="Header"/>
    <w:basedOn w:val="763"/>
    <w:link w:val="79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96" w:customStyle="1">
    <w:name w:val="Верхний колонтитул Знак"/>
    <w:link w:val="795"/>
    <w:uiPriority w:val="99"/>
  </w:style>
  <w:style w:type="paragraph" w:styleId="797">
    <w:name w:val="Footer"/>
    <w:basedOn w:val="763"/>
    <w:link w:val="79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98" w:customStyle="1">
    <w:name w:val="Нижний колонтитул Знак"/>
    <w:link w:val="797"/>
    <w:uiPriority w:val="99"/>
  </w:style>
  <w:style w:type="paragraph" w:styleId="799">
    <w:name w:val="Caption"/>
    <w:basedOn w:val="763"/>
    <w:next w:val="763"/>
    <w:link w:val="800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styleId="800" w:customStyle="1">
    <w:name w:val="Название объекта Знак"/>
    <w:link w:val="799"/>
    <w:uiPriority w:val="35"/>
    <w:rPr>
      <w:b/>
      <w:bCs/>
      <w:color w:val="4f81bd"/>
      <w:sz w:val="18"/>
      <w:szCs w:val="18"/>
    </w:rPr>
  </w:style>
  <w:style w:type="table" w:styleId="801">
    <w:name w:val="Table Grid"/>
    <w:uiPriority w:val="59"/>
    <w:rPr>
      <w:lang w:eastAsia="zh-CN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02" w:customStyle="1">
    <w:name w:val="Table Grid Light"/>
    <w:uiPriority w:val="59"/>
    <w:rPr>
      <w:lang w:eastAsia="zh-CN"/>
    </w:rPr>
    <w:tblPr>
      <w:tblInd w:w="0" w:type="dxa"/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03" w:customStyle="1">
    <w:name w:val="Plain Table 1"/>
    <w:uiPriority w:val="59"/>
    <w:rPr>
      <w:lang w:eastAsia="zh-CN"/>
    </w:rPr>
    <w:tblPr>
      <w:tblInd w:w="0" w:type="dxa"/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04" w:customStyle="1">
    <w:name w:val="Plain Table 2"/>
    <w:uiPriority w:val="59"/>
    <w:rPr>
      <w:lang w:eastAsia="zh-CN"/>
    </w:rPr>
    <w:tblPr>
      <w:tblInd w:w="0" w:type="dxa"/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05" w:customStyle="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06" w:customStyle="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07" w:customStyle="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08" w:customStyle="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89898" w:sz="4" w:space="0"/>
        <w:left w:val="single" w:color="989898" w:sz="4" w:space="0"/>
        <w:bottom w:val="single" w:color="989898" w:sz="4" w:space="0"/>
        <w:right w:val="single" w:color="989898" w:sz="4" w:space="0"/>
        <w:insideH w:val="single" w:color="989898" w:sz="4" w:space="0"/>
        <w:insideV w:val="single" w:color="98989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9" w:customStyle="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0" w:customStyle="1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1" w:customStyle="1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2" w:customStyle="1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3" w:customStyle="1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4" w:customStyle="1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5" w:customStyle="1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6" w:customStyle="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7" w:customStyle="1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8" w:customStyle="1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9" w:customStyle="1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0" w:customStyle="1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1" w:customStyle="1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2" w:customStyle="1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3" w:customStyle="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4" w:customStyle="1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5" w:customStyle="1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6" w:customStyle="1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7" w:customStyle="1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8" w:customStyle="1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9" w:customStyle="1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6F6F6F" w:sz="4" w:space="0"/>
        <w:left w:val="single" w:color="6F6F6F" w:sz="4" w:space="0"/>
        <w:bottom w:val="single" w:color="6F6F6F" w:sz="4" w:space="0"/>
        <w:right w:val="single" w:color="6F6F6F" w:sz="4" w:space="0"/>
        <w:insideH w:val="single" w:color="6F6F6F" w:sz="4" w:space="0"/>
        <w:insideV w:val="single" w:color="6F6F6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0" w:customStyle="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  <w:insideV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1" w:customStyle="1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  <w:insideV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2" w:customStyle="1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  <w:insideV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3" w:customStyle="1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  <w:insideV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4" w:customStyle="1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5" w:customStyle="1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6" w:customStyle="1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bfbfbf" w:fill="bfbfbf"/>
      <w:tblCellMar>
        <w:left w:w="0" w:type="dxa"/>
        <w:top w:w="0" w:type="dxa"/>
        <w:right w:w="0" w:type="dxa"/>
        <w:bottom w:w="0" w:type="dxa"/>
      </w:tblCellMar>
    </w:tblPr>
  </w:style>
  <w:style w:type="table" w:styleId="837" w:customStyle="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dae5f1" w:fill="dae5f1"/>
      <w:tblCellMar>
        <w:left w:w="0" w:type="dxa"/>
        <w:top w:w="0" w:type="dxa"/>
        <w:right w:w="0" w:type="dxa"/>
        <w:bottom w:w="0" w:type="dxa"/>
      </w:tblCellMar>
    </w:tblPr>
  </w:style>
  <w:style w:type="table" w:styleId="838" w:customStyle="1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2dcdc" w:fill="f2dcdc"/>
      <w:tblCellMar>
        <w:left w:w="0" w:type="dxa"/>
        <w:top w:w="0" w:type="dxa"/>
        <w:right w:w="0" w:type="dxa"/>
        <w:bottom w:w="0" w:type="dxa"/>
      </w:tblCellMar>
    </w:tblPr>
  </w:style>
  <w:style w:type="table" w:styleId="839" w:customStyle="1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eaf1dc" w:fill="eaf1dc"/>
      <w:tblCellMar>
        <w:left w:w="0" w:type="dxa"/>
        <w:top w:w="0" w:type="dxa"/>
        <w:right w:w="0" w:type="dxa"/>
        <w:bottom w:w="0" w:type="dxa"/>
      </w:tblCellMar>
    </w:tblPr>
  </w:style>
  <w:style w:type="table" w:styleId="840" w:customStyle="1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e5dfec" w:fill="e5dfec"/>
      <w:tblCellMar>
        <w:left w:w="0" w:type="dxa"/>
        <w:top w:w="0" w:type="dxa"/>
        <w:right w:w="0" w:type="dxa"/>
        <w:bottom w:w="0" w:type="dxa"/>
      </w:tblCellMar>
    </w:tblPr>
  </w:style>
  <w:style w:type="table" w:styleId="841" w:customStyle="1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daeef3" w:fill="daeef3"/>
      <w:tblCellMar>
        <w:left w:w="0" w:type="dxa"/>
        <w:top w:w="0" w:type="dxa"/>
        <w:right w:w="0" w:type="dxa"/>
        <w:bottom w:w="0" w:type="dxa"/>
      </w:tblCellMar>
    </w:tblPr>
  </w:style>
  <w:style w:type="table" w:styleId="842" w:customStyle="1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de9d8" w:fill="fde9d8"/>
      <w:tblCellMar>
        <w:left w:w="0" w:type="dxa"/>
        <w:top w:w="0" w:type="dxa"/>
        <w:right w:w="0" w:type="dxa"/>
        <w:bottom w:w="0" w:type="dxa"/>
      </w:tblCellMar>
    </w:tblPr>
  </w:style>
  <w:style w:type="table" w:styleId="843" w:customStyle="1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4" w:customStyle="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A6BFDD" w:sz="4" w:space="0"/>
        <w:left w:val="single" w:color="A6BFDD" w:sz="4" w:space="0"/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5" w:customStyle="1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6" w:customStyle="1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ABB59" w:sz="4" w:space="0"/>
        <w:left w:val="single" w:color="9ABB59" w:sz="4" w:space="0"/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7" w:customStyle="1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8" w:customStyle="1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BACC6" w:sz="4" w:space="0"/>
        <w:left w:val="single" w:color="4BACC6" w:sz="4" w:space="0"/>
        <w:bottom w:val="single" w:color="4BACC6" w:sz="4" w:space="0"/>
        <w:right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9" w:customStyle="1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79646" w:sz="4" w:space="0"/>
        <w:left w:val="single" w:color="F79646" w:sz="4" w:space="0"/>
        <w:bottom w:val="single" w:color="F79646" w:sz="4" w:space="0"/>
        <w:right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0" w:customStyle="1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1" w:customStyle="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2" w:customStyle="1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3" w:customStyle="1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4" w:customStyle="1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5" w:customStyle="1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6" w:customStyle="1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7" w:customStyle="1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58" w:customStyle="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59" w:customStyle="1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60" w:customStyle="1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61" w:customStyle="1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62" w:customStyle="1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63" w:customStyle="1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64" w:customStyle="1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6F6F6F" w:sz="4" w:space="0"/>
        <w:bottom w:val="single" w:color="6F6F6F" w:sz="4" w:space="0"/>
        <w:insideH w:val="single" w:color="6F6F6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5" w:customStyle="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BB7D9" w:sz="4" w:space="0"/>
        <w:bottom w:val="single" w:color="9BB7D9" w:sz="4" w:space="0"/>
        <w:insideH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6" w:customStyle="1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B9B9A" w:sz="4" w:space="0"/>
        <w:bottom w:val="single" w:color="DB9B9A" w:sz="4" w:space="0"/>
        <w:insideH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7" w:customStyle="1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6D8A1" w:sz="4" w:space="0"/>
        <w:bottom w:val="single" w:color="C6D8A1" w:sz="4" w:space="0"/>
        <w:insideH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8" w:customStyle="1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A7CA" w:sz="4" w:space="0"/>
        <w:bottom w:val="single" w:color="B7A7CA" w:sz="4" w:space="0"/>
        <w:insideH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9" w:customStyle="1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9D0DE" w:sz="4" w:space="0"/>
        <w:bottom w:val="single" w:color="99D0DE" w:sz="4" w:space="0"/>
        <w:insideH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0" w:customStyle="1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396" w:sz="4" w:space="0"/>
        <w:bottom w:val="single" w:color="FAC396" w:sz="4" w:space="0"/>
        <w:insideH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1" w:customStyle="1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2" w:customStyle="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F81BD" w:sz="4" w:space="0"/>
        <w:left w:val="single" w:color="4F81BD" w:sz="4" w:space="0"/>
        <w:bottom w:val="single" w:color="4F81BD" w:sz="4" w:space="0"/>
        <w:right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3" w:customStyle="1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4" w:customStyle="1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3D69B" w:sz="4" w:space="0"/>
        <w:left w:val="single" w:color="C3D69B" w:sz="4" w:space="0"/>
        <w:bottom w:val="single" w:color="C3D69B" w:sz="4" w:space="0"/>
        <w:right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5" w:customStyle="1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6" w:customStyle="1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2CCDC" w:sz="4" w:space="0"/>
        <w:left w:val="single" w:color="92CCDC" w:sz="4" w:space="0"/>
        <w:bottom w:val="single" w:color="92CCDC" w:sz="4" w:space="0"/>
        <w:right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7" w:customStyle="1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090" w:sz="4" w:space="0"/>
        <w:left w:val="single" w:color="FAC090" w:sz="4" w:space="0"/>
        <w:bottom w:val="single" w:color="FAC090" w:sz="4" w:space="0"/>
        <w:right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8" w:customStyle="1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9" w:customStyle="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0" w:customStyle="1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1" w:customStyle="1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2" w:customStyle="1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3" w:customStyle="1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4" w:customStyle="1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5" w:customStyle="1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7F7F7F" w:sz="32" w:space="0"/>
        <w:left w:val="single" w:color="7F7F7F" w:sz="32" w:space="0"/>
        <w:bottom w:val="single" w:color="7F7F7F" w:sz="32" w:space="0"/>
        <w:right w:val="single" w:color="7F7F7F" w:sz="32" w:space="0"/>
      </w:tblBorders>
      <w:shd w:val="clear" w:color="7f7f7f" w:fill="7f7f7f"/>
      <w:tblCellMar>
        <w:left w:w="0" w:type="dxa"/>
        <w:top w:w="0" w:type="dxa"/>
        <w:right w:w="0" w:type="dxa"/>
        <w:bottom w:w="0" w:type="dxa"/>
      </w:tblCellMar>
    </w:tblPr>
  </w:style>
  <w:style w:type="table" w:styleId="886" w:customStyle="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F81BD" w:sz="32" w:space="0"/>
        <w:left w:val="single" w:color="4F81BD" w:sz="32" w:space="0"/>
        <w:bottom w:val="single" w:color="4F81BD" w:sz="32" w:space="0"/>
        <w:right w:val="single" w:color="4F81BD" w:sz="32" w:space="0"/>
      </w:tblBorders>
      <w:shd w:val="clear" w:color="4f81bd" w:fill="4f81bd"/>
      <w:tblCellMar>
        <w:left w:w="0" w:type="dxa"/>
        <w:top w:w="0" w:type="dxa"/>
        <w:right w:w="0" w:type="dxa"/>
        <w:bottom w:w="0" w:type="dxa"/>
      </w:tblCellMar>
    </w:tblPr>
  </w:style>
  <w:style w:type="table" w:styleId="887" w:customStyle="1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32" w:space="0"/>
        <w:left w:val="single" w:color="D99695" w:sz="32" w:space="0"/>
        <w:bottom w:val="single" w:color="D99695" w:sz="32" w:space="0"/>
        <w:right w:val="single" w:color="D99695" w:sz="32" w:space="0"/>
      </w:tblBorders>
      <w:shd w:val="clear" w:color="d99695" w:fill="d99695"/>
      <w:tblCellMar>
        <w:left w:w="0" w:type="dxa"/>
        <w:top w:w="0" w:type="dxa"/>
        <w:right w:w="0" w:type="dxa"/>
        <w:bottom w:w="0" w:type="dxa"/>
      </w:tblCellMar>
    </w:tblPr>
  </w:style>
  <w:style w:type="table" w:styleId="888" w:customStyle="1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3D69B" w:sz="32" w:space="0"/>
        <w:left w:val="single" w:color="C3D69B" w:sz="32" w:space="0"/>
        <w:bottom w:val="single" w:color="C3D69B" w:sz="32" w:space="0"/>
        <w:right w:val="single" w:color="C3D69B" w:sz="32" w:space="0"/>
      </w:tblBorders>
      <w:shd w:val="clear" w:color="c3d69b" w:fill="c3d69b"/>
      <w:tblCellMar>
        <w:left w:w="0" w:type="dxa"/>
        <w:top w:w="0" w:type="dxa"/>
        <w:right w:w="0" w:type="dxa"/>
        <w:bottom w:w="0" w:type="dxa"/>
      </w:tblCellMar>
    </w:tblPr>
  </w:style>
  <w:style w:type="table" w:styleId="889" w:customStyle="1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32" w:space="0"/>
        <w:left w:val="single" w:color="B2A1C6" w:sz="32" w:space="0"/>
        <w:bottom w:val="single" w:color="B2A1C6" w:sz="32" w:space="0"/>
        <w:right w:val="single" w:color="B2A1C6" w:sz="32" w:space="0"/>
      </w:tblBorders>
      <w:shd w:val="clear" w:color="b2a1c6" w:fill="b2a1c6"/>
      <w:tblCellMar>
        <w:left w:w="0" w:type="dxa"/>
        <w:top w:w="0" w:type="dxa"/>
        <w:right w:w="0" w:type="dxa"/>
        <w:bottom w:w="0" w:type="dxa"/>
      </w:tblCellMar>
    </w:tblPr>
  </w:style>
  <w:style w:type="table" w:styleId="890" w:customStyle="1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2CCDC" w:sz="32" w:space="0"/>
        <w:left w:val="single" w:color="92CCDC" w:sz="32" w:space="0"/>
        <w:bottom w:val="single" w:color="92CCDC" w:sz="32" w:space="0"/>
        <w:right w:val="single" w:color="92CCDC" w:sz="32" w:space="0"/>
      </w:tblBorders>
      <w:shd w:val="clear" w:color="92ccdc" w:fill="92ccdc"/>
      <w:tblCellMar>
        <w:left w:w="0" w:type="dxa"/>
        <w:top w:w="0" w:type="dxa"/>
        <w:right w:w="0" w:type="dxa"/>
        <w:bottom w:w="0" w:type="dxa"/>
      </w:tblCellMar>
    </w:tblPr>
  </w:style>
  <w:style w:type="table" w:styleId="891" w:customStyle="1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090" w:sz="32" w:space="0"/>
        <w:left w:val="single" w:color="FAC090" w:sz="32" w:space="0"/>
        <w:bottom w:val="single" w:color="FAC090" w:sz="32" w:space="0"/>
        <w:right w:val="single" w:color="FAC090" w:sz="32" w:space="0"/>
      </w:tblBorders>
      <w:shd w:val="clear" w:color="fac090" w:fill="fac090"/>
      <w:tblCellMar>
        <w:left w:w="0" w:type="dxa"/>
        <w:top w:w="0" w:type="dxa"/>
        <w:right w:w="0" w:type="dxa"/>
        <w:bottom w:w="0" w:type="dxa"/>
      </w:tblCellMar>
    </w:tblPr>
  </w:style>
  <w:style w:type="table" w:styleId="892" w:customStyle="1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7F7F7F" w:sz="4" w:space="0"/>
        <w:bottom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3" w:customStyle="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F81BD" w:sz="4" w:space="0"/>
        <w:bottom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4" w:customStyle="1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4" w:space="0"/>
        <w:bottom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5" w:customStyle="1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3D69B" w:sz="4" w:space="0"/>
        <w:bottom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6" w:customStyle="1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4" w:space="0"/>
        <w:bottom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7" w:customStyle="1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2CCDC" w:sz="4" w:space="0"/>
        <w:bottom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8" w:customStyle="1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090" w:sz="4" w:space="0"/>
        <w:bottom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9" w:customStyle="1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0" w:customStyle="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1" w:customStyle="1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2" w:customStyle="1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3" w:customStyle="1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4" w:customStyle="1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5" w:customStyle="1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6" w:customStyle="1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907" w:customStyle="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908" w:customStyle="1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909" w:customStyle="1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910" w:customStyle="1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911" w:customStyle="1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912" w:customStyle="1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913" w:customStyle="1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14" w:customStyle="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A4A71" w:sz="4" w:space="0"/>
        <w:left w:val="single" w:color="2A4A71" w:sz="4" w:space="0"/>
        <w:bottom w:val="single" w:color="2A4A71" w:sz="4" w:space="0"/>
        <w:right w:val="single" w:color="2A4A71" w:sz="4" w:space="0"/>
        <w:insideH w:val="single" w:color="2A4A71" w:sz="4" w:space="0"/>
        <w:insideV w:val="single" w:color="2A4A7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15" w:customStyle="1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732A29" w:sz="4" w:space="0"/>
        <w:left w:val="single" w:color="732A29" w:sz="4" w:space="0"/>
        <w:bottom w:val="single" w:color="732A29" w:sz="4" w:space="0"/>
        <w:right w:val="single" w:color="732A29" w:sz="4" w:space="0"/>
        <w:insideH w:val="single" w:color="732A29" w:sz="4" w:space="0"/>
        <w:insideV w:val="single" w:color="732A2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16" w:customStyle="1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B722E" w:sz="4" w:space="0"/>
        <w:left w:val="single" w:color="5B722E" w:sz="4" w:space="0"/>
        <w:bottom w:val="single" w:color="5B722E" w:sz="4" w:space="0"/>
        <w:right w:val="single" w:color="5B722E" w:sz="4" w:space="0"/>
        <w:insideH w:val="single" w:color="5B722E" w:sz="4" w:space="0"/>
        <w:insideV w:val="single" w:color="5B722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17" w:customStyle="1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4A395F" w:sz="4" w:space="0"/>
        <w:left w:val="single" w:color="4A395F" w:sz="4" w:space="0"/>
        <w:bottom w:val="single" w:color="4A395F" w:sz="4" w:space="0"/>
        <w:right w:val="single" w:color="4A395F" w:sz="4" w:space="0"/>
        <w:insideH w:val="single" w:color="4A395F" w:sz="4" w:space="0"/>
        <w:insideV w:val="single" w:color="4A395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18" w:customStyle="1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66779" w:sz="4" w:space="0"/>
        <w:left w:val="single" w:color="266779" w:sz="4" w:space="0"/>
        <w:bottom w:val="single" w:color="266779" w:sz="4" w:space="0"/>
        <w:right w:val="single" w:color="266779" w:sz="4" w:space="0"/>
        <w:insideH w:val="single" w:color="266779" w:sz="4" w:space="0"/>
        <w:insideV w:val="single" w:color="26677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19" w:customStyle="1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B15407" w:sz="4" w:space="0"/>
        <w:left w:val="single" w:color="B15407" w:sz="4" w:space="0"/>
        <w:bottom w:val="single" w:color="B15407" w:sz="4" w:space="0"/>
        <w:right w:val="single" w:color="B15407" w:sz="4" w:space="0"/>
        <w:insideH w:val="single" w:color="B15407" w:sz="4" w:space="0"/>
        <w:insideV w:val="single" w:color="B15407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20" w:customStyle="1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21" w:customStyle="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22" w:customStyle="1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23" w:customStyle="1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24" w:customStyle="1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25" w:customStyle="1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26" w:customStyle="1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character" w:styleId="927">
    <w:name w:val="Hyperlink"/>
    <w:uiPriority w:val="99"/>
    <w:unhideWhenUsed/>
    <w:rPr>
      <w:color w:val="0000ff"/>
      <w:u w:val="single"/>
    </w:rPr>
  </w:style>
  <w:style w:type="paragraph" w:styleId="928">
    <w:name w:val="footnote text"/>
    <w:basedOn w:val="763"/>
    <w:link w:val="946"/>
    <w:uiPriority w:val="99"/>
    <w:semiHidden/>
    <w:unhideWhenUsed/>
    <w:rPr>
      <w:sz w:val="20"/>
      <w:szCs w:val="20"/>
    </w:rPr>
  </w:style>
  <w:style w:type="character" w:styleId="929" w:customStyle="1">
    <w:name w:val="Footnote Text Char"/>
    <w:uiPriority w:val="99"/>
    <w:rPr>
      <w:sz w:val="18"/>
    </w:rPr>
  </w:style>
  <w:style w:type="character" w:styleId="930">
    <w:name w:val="footnote reference"/>
    <w:uiPriority w:val="99"/>
    <w:semiHidden/>
    <w:unhideWhenUsed/>
    <w:rPr>
      <w:vertAlign w:val="superscript"/>
    </w:rPr>
  </w:style>
  <w:style w:type="paragraph" w:styleId="931">
    <w:name w:val="endnote text"/>
    <w:basedOn w:val="763"/>
    <w:link w:val="932"/>
    <w:uiPriority w:val="99"/>
    <w:semiHidden/>
    <w:unhideWhenUsed/>
    <w:pPr>
      <w:spacing w:after="0" w:line="240" w:lineRule="auto"/>
    </w:pPr>
    <w:rPr>
      <w:sz w:val="20"/>
    </w:rPr>
  </w:style>
  <w:style w:type="character" w:styleId="932" w:customStyle="1">
    <w:name w:val="Текст концевой сноски Знак"/>
    <w:link w:val="931"/>
    <w:uiPriority w:val="99"/>
    <w:rPr>
      <w:sz w:val="20"/>
    </w:rPr>
  </w:style>
  <w:style w:type="character" w:styleId="933">
    <w:name w:val="endnote reference"/>
    <w:uiPriority w:val="99"/>
    <w:semiHidden/>
    <w:unhideWhenUsed/>
    <w:rPr>
      <w:vertAlign w:val="superscript"/>
    </w:rPr>
  </w:style>
  <w:style w:type="paragraph" w:styleId="934">
    <w:name w:val="toc 1"/>
    <w:basedOn w:val="763"/>
    <w:next w:val="763"/>
    <w:uiPriority w:val="39"/>
    <w:unhideWhenUsed/>
    <w:pPr>
      <w:spacing w:after="57"/>
    </w:pPr>
  </w:style>
  <w:style w:type="paragraph" w:styleId="935">
    <w:name w:val="toc 2"/>
    <w:basedOn w:val="763"/>
    <w:next w:val="763"/>
    <w:uiPriority w:val="39"/>
    <w:unhideWhenUsed/>
    <w:pPr>
      <w:ind w:left="283"/>
      <w:spacing w:after="57"/>
    </w:pPr>
  </w:style>
  <w:style w:type="paragraph" w:styleId="936">
    <w:name w:val="toc 3"/>
    <w:basedOn w:val="763"/>
    <w:next w:val="763"/>
    <w:uiPriority w:val="39"/>
    <w:unhideWhenUsed/>
    <w:pPr>
      <w:ind w:left="567"/>
      <w:spacing w:after="57"/>
    </w:pPr>
  </w:style>
  <w:style w:type="paragraph" w:styleId="937">
    <w:name w:val="toc 4"/>
    <w:basedOn w:val="763"/>
    <w:next w:val="763"/>
    <w:uiPriority w:val="39"/>
    <w:unhideWhenUsed/>
    <w:pPr>
      <w:ind w:left="850"/>
      <w:spacing w:after="57"/>
    </w:pPr>
  </w:style>
  <w:style w:type="paragraph" w:styleId="938">
    <w:name w:val="toc 5"/>
    <w:basedOn w:val="763"/>
    <w:next w:val="763"/>
    <w:uiPriority w:val="39"/>
    <w:unhideWhenUsed/>
    <w:pPr>
      <w:ind w:left="1134"/>
      <w:spacing w:after="57"/>
    </w:pPr>
  </w:style>
  <w:style w:type="paragraph" w:styleId="939">
    <w:name w:val="toc 6"/>
    <w:basedOn w:val="763"/>
    <w:next w:val="763"/>
    <w:uiPriority w:val="39"/>
    <w:unhideWhenUsed/>
    <w:pPr>
      <w:ind w:left="1417"/>
      <w:spacing w:after="57"/>
    </w:pPr>
  </w:style>
  <w:style w:type="paragraph" w:styleId="940">
    <w:name w:val="toc 7"/>
    <w:basedOn w:val="763"/>
    <w:next w:val="763"/>
    <w:uiPriority w:val="39"/>
    <w:unhideWhenUsed/>
    <w:pPr>
      <w:ind w:left="1701"/>
      <w:spacing w:after="57"/>
    </w:pPr>
  </w:style>
  <w:style w:type="paragraph" w:styleId="941">
    <w:name w:val="toc 8"/>
    <w:basedOn w:val="763"/>
    <w:next w:val="763"/>
    <w:uiPriority w:val="39"/>
    <w:unhideWhenUsed/>
    <w:pPr>
      <w:ind w:left="1984"/>
      <w:spacing w:after="57"/>
    </w:pPr>
  </w:style>
  <w:style w:type="paragraph" w:styleId="942">
    <w:name w:val="toc 9"/>
    <w:basedOn w:val="763"/>
    <w:next w:val="763"/>
    <w:uiPriority w:val="39"/>
    <w:unhideWhenUsed/>
    <w:pPr>
      <w:ind w:left="2268"/>
      <w:spacing w:after="57"/>
    </w:pPr>
  </w:style>
  <w:style w:type="paragraph" w:styleId="943">
    <w:name w:val="TOC Heading"/>
    <w:uiPriority w:val="39"/>
    <w:unhideWhenUsed/>
    <w:rPr>
      <w:lang w:eastAsia="zh-CN"/>
    </w:rPr>
  </w:style>
  <w:style w:type="paragraph" w:styleId="944">
    <w:name w:val="table of figures"/>
    <w:basedOn w:val="763"/>
    <w:next w:val="763"/>
    <w:uiPriority w:val="99"/>
    <w:unhideWhenUsed/>
    <w:pPr>
      <w:spacing w:after="0"/>
    </w:pPr>
  </w:style>
  <w:style w:type="paragraph" w:styleId="945" w:customStyle="1">
    <w:name w:val="ConsPlusTitle"/>
    <w:pPr>
      <w:widowControl w:val="off"/>
    </w:pPr>
    <w:rPr>
      <w:rFonts w:eastAsia="Times New Roman" w:cs="Calibri"/>
      <w:b/>
      <w:sz w:val="22"/>
    </w:rPr>
  </w:style>
  <w:style w:type="character" w:styleId="946" w:customStyle="1">
    <w:name w:val="Текст сноски Знак"/>
    <w:link w:val="928"/>
    <w:uiPriority w:val="99"/>
    <w:semiHidden/>
    <w:rPr>
      <w:lang w:eastAsia="en-US"/>
    </w:rPr>
  </w:style>
  <w:style w:type="character" w:styleId="947" w:customStyle="1">
    <w:name w:val="Заголовок 1 Знак"/>
    <w:link w:val="764"/>
    <w:uiPriority w:val="9"/>
    <w:rPr>
      <w:rFonts w:ascii="Cambria" w:hAnsi="Cambria" w:eastAsia="Times New Roman" w:cs="Times New Roman"/>
      <w:b/>
      <w:bCs/>
      <w:sz w:val="32"/>
      <w:szCs w:val="32"/>
      <w:lang w:eastAsia="en-US"/>
    </w:rPr>
  </w:style>
  <w:style w:type="paragraph" w:styleId="948" w:customStyle="1">
    <w:name w:val="Default"/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Витальевна Буркова</dc:creator>
  <cp:lastModifiedBy>av_shemchak</cp:lastModifiedBy>
  <cp:revision>90</cp:revision>
  <dcterms:created xsi:type="dcterms:W3CDTF">2025-03-11T06:31:00Z</dcterms:created>
  <dcterms:modified xsi:type="dcterms:W3CDTF">2026-07-15T07:19:06Z</dcterms:modified>
  <cp:version>917504</cp:version>
</cp:coreProperties>
</file>