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5"/>
        <w:jc w:val="right"/>
        <w:spacing w:before="1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Приложение 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895"/>
        <w:jc w:val="right"/>
        <w:spacing w:before="1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к приказу комитета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895"/>
        <w:jc w:val="right"/>
        <w:spacing w:before="1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градостроительной политики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895"/>
        <w:jc w:val="right"/>
        <w:spacing w:before="1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Ленинградской области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895"/>
        <w:jc w:val="right"/>
        <w:spacing w:before="19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от _____________ 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spacing w:before="1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spacing w:before="1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ind w:left="0" w:firstLine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 в Правила землепользования и застройки </w:t>
      </w:r>
      <w:r>
        <w:rPr>
          <w:sz w:val="28"/>
          <w:szCs w:val="28"/>
        </w:rPr>
        <w:br/>
        <w:t xml:space="preserve">муниципального образования </w:t>
      </w:r>
      <w:r>
        <w:rPr>
          <w:sz w:val="28"/>
          <w:szCs w:val="28"/>
        </w:rPr>
        <w:t xml:space="preserve">Иссадское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сельское</w:t>
      </w:r>
      <w:r>
        <w:rPr>
          <w:sz w:val="28"/>
          <w:szCs w:val="28"/>
        </w:rPr>
        <w:t xml:space="preserve"> поселение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Волховского</w:t>
      </w:r>
      <w:r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ind w:left="355" w:right="253" w:firstLine="1693"/>
        <w:spacing w:before="1" w:line="249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0"/>
          <w:numId w:val="2"/>
        </w:numPr>
        <w:ind w:left="0" w:firstLine="709"/>
        <w:jc w:val="both"/>
        <w:spacing w:after="0" w:line="240" w:lineRule="auto"/>
        <w:widowControl w:val="off"/>
        <w:tabs>
          <w:tab w:val="left" w:pos="709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Раздел «</w:t>
      </w:r>
      <w:r>
        <w:rPr>
          <w:b/>
          <w:bCs/>
          <w:sz w:val="24"/>
          <w:szCs w:val="24"/>
        </w:rPr>
        <w:t xml:space="preserve">ЗОНЫ СПЕЦИАЛЬНОГО НАЗНАЧЕНИЯ</w:t>
      </w:r>
      <w:r>
        <w:rPr>
          <w:sz w:val="28"/>
          <w:szCs w:val="28"/>
        </w:rPr>
        <w:t xml:space="preserve">» таблицы статьи 27.1. «</w:t>
      </w:r>
      <w:r>
        <w:rPr>
          <w:b/>
          <w:bCs/>
          <w:sz w:val="28"/>
          <w:szCs w:val="28"/>
        </w:rPr>
        <w:t xml:space="preserve">Перечень территориальных зон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части </w:t>
      </w:r>
      <w:r>
        <w:rPr>
          <w:color w:val="000000"/>
          <w:sz w:val="28"/>
          <w:szCs w:val="28"/>
          <w14:ligatures w14:val="standardContextual"/>
        </w:rPr>
        <w:t xml:space="preserve">III дополнить строками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ind w:left="0"/>
        <w:jc w:val="both"/>
        <w:spacing w:after="0" w:line="360" w:lineRule="auto"/>
        <w:tabs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4583" w:type="pct"/>
        <w:tblInd w:w="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504"/>
      </w:tblGrid>
      <w:tr>
        <w:tblPrEx/>
        <w:trPr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C-</w:t>
            </w:r>
            <w:r>
              <w:rPr>
                <w:rFonts w:eastAsia="Times New Roman"/>
                <w:sz w:val="22"/>
                <w:lang w:eastAsia="ru-RU"/>
              </w:rPr>
              <w:t xml:space="preserve">3</w:t>
            </w:r>
            <w:r>
              <w:rPr>
                <w:rFonts w:eastAsia="Times New Roman"/>
                <w:sz w:val="22"/>
                <w:lang w:eastAsia="ru-RU"/>
              </w:rPr>
            </w:r>
            <w:r>
              <w:rPr>
                <w:rFonts w:eastAsia="Times New Roman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Зона </w:t>
            </w:r>
            <w:r>
              <w:rPr>
                <w:rFonts w:eastAsia="Times New Roman"/>
                <w:sz w:val="22"/>
                <w:lang w:eastAsia="ru-RU"/>
              </w:rPr>
              <w:t xml:space="preserve">режимных территорий</w:t>
            </w:r>
            <w:r>
              <w:rPr>
                <w:rFonts w:eastAsia="Times New Roman"/>
                <w:sz w:val="22"/>
                <w:lang w:eastAsia="ru-RU"/>
              </w:rPr>
            </w:r>
            <w:r>
              <w:rPr>
                <w:rFonts w:eastAsia="Times New Roman"/>
                <w:sz w:val="22"/>
                <w:lang w:eastAsia="ru-RU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С-3</w:t>
            </w:r>
            <w:r>
              <w:rPr>
                <w:rFonts w:eastAsia="Times New Roman"/>
                <w:sz w:val="22"/>
                <w:lang w:val="en-US" w:eastAsia="ru-RU"/>
              </w:rPr>
              <w:t xml:space="preserve">-</w:t>
            </w:r>
            <w:r>
              <w:rPr>
                <w:rFonts w:eastAsia="Times New Roman"/>
                <w:sz w:val="22"/>
                <w:lang w:eastAsia="ru-RU"/>
              </w:rPr>
              <w:t xml:space="preserve">О</w:t>
            </w:r>
            <w:r>
              <w:rPr>
                <w:rFonts w:eastAsia="Times New Roman"/>
                <w:sz w:val="22"/>
                <w:lang w:eastAsia="ru-RU"/>
              </w:rPr>
            </w:r>
            <w:r>
              <w:rPr>
                <w:rFonts w:eastAsia="Times New Roman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Подзона з</w:t>
            </w:r>
            <w:r>
              <w:rPr>
                <w:rFonts w:eastAsia="Times New Roman"/>
                <w:sz w:val="22"/>
                <w:lang w:eastAsia="ru-RU"/>
              </w:rPr>
              <w:t xml:space="preserve">он</w:t>
            </w:r>
            <w:r>
              <w:rPr>
                <w:rFonts w:eastAsia="Times New Roman"/>
                <w:sz w:val="22"/>
                <w:lang w:eastAsia="ru-RU"/>
              </w:rPr>
              <w:t xml:space="preserve">ы</w:t>
            </w: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lang w:eastAsia="ru-RU"/>
              </w:rPr>
              <w:t xml:space="preserve">режимных территорий</w:t>
            </w: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>
              <w:rPr>
                <w:sz w:val="22"/>
              </w:rPr>
              <w:t xml:space="preserve">в границах ООПТ</w:t>
            </w:r>
            <w:r>
              <w:rPr>
                <w:rFonts w:eastAsia="Times New Roman"/>
                <w:sz w:val="22"/>
                <w:lang w:eastAsia="ru-RU"/>
              </w:rPr>
            </w:r>
            <w:r>
              <w:rPr>
                <w:rFonts w:eastAsia="Times New Roman"/>
                <w:sz w:val="22"/>
                <w:lang w:eastAsia="ru-RU"/>
              </w:rPr>
            </w:r>
          </w:p>
        </w:tc>
      </w:tr>
    </w:tbl>
    <w:p>
      <w:pPr>
        <w:contextualSpacing w:val="0"/>
        <w:jc w:val="right"/>
        <w:spacing w:before="0" w:after="0" w:line="276" w:lineRule="auto"/>
        <w:tabs>
          <w:tab w:val="left" w:pos="851" w:leader="none"/>
          <w:tab w:val="left" w:pos="1134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90"/>
        <w:numPr>
          <w:ilvl w:val="0"/>
          <w:numId w:val="2"/>
        </w:numPr>
        <w:ind w:left="0" w:firstLine="709"/>
        <w:jc w:val="both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аздел «</w:t>
      </w:r>
      <w:r>
        <w:rPr>
          <w:b/>
          <w:bCs/>
          <w:sz w:val="28"/>
          <w:szCs w:val="28"/>
          <w:u w:val="single"/>
        </w:rPr>
      </w:r>
      <w:r>
        <w:rPr>
          <w:b/>
          <w:bCs/>
          <w:sz w:val="24"/>
          <w:szCs w:val="24"/>
        </w:rPr>
        <w:t xml:space="preserve">ЗОНЫ СПЕЦИАЛЬНОГО НАЗНАЧЕНИЯ</w:t>
      </w:r>
      <w:r/>
      <w:r>
        <w:rPr>
          <w:b/>
          <w:bCs/>
          <w:sz w:val="28"/>
          <w:szCs w:val="28"/>
          <w:u w:val="single"/>
        </w:rPr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стать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27.2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</w:t>
      </w:r>
      <w:r>
        <w:rPr>
          <w:color w:val="000000"/>
          <w:sz w:val="28"/>
          <w:szCs w:val="28"/>
          <w14:ligatures w14:val="standardContextual"/>
        </w:rPr>
        <w:t xml:space="preserve">III</w:t>
      </w:r>
      <w:r>
        <w:rPr>
          <w:sz w:val="28"/>
          <w:szCs w:val="28"/>
        </w:rPr>
        <w:t xml:space="preserve"> дополнить текстом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before="0" w:after="0" w:line="276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«</w:t>
      </w:r>
      <w:r>
        <w:rPr>
          <w:b/>
          <w:bCs/>
          <w:sz w:val="24"/>
          <w:szCs w:val="24"/>
          <w:lang w:val="en-US" w:eastAsia="ru-RU"/>
        </w:rPr>
        <w:t xml:space="preserve">C</w:t>
      </w:r>
      <w:r>
        <w:rPr>
          <w:b/>
          <w:bCs/>
          <w:sz w:val="24"/>
          <w:szCs w:val="24"/>
          <w:lang w:eastAsia="ru-RU"/>
        </w:rPr>
        <w:t xml:space="preserve">-3 ЗОНА РЕЖИМНЫХ ТЕРРИТОРИЙ</w:t>
      </w:r>
      <w:r>
        <w:rPr>
          <w:sz w:val="24"/>
          <w:szCs w:val="24"/>
        </w:rPr>
      </w:r>
      <w:r>
        <w:rPr>
          <w:sz w:val="28"/>
          <w:szCs w:val="28"/>
        </w:rPr>
      </w:r>
    </w:p>
    <w:p>
      <w:pPr>
        <w:pStyle w:val="890"/>
        <w:numPr>
          <w:ilvl w:val="0"/>
          <w:numId w:val="6"/>
        </w:numPr>
        <w:ind w:right="0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Cs w:val="24"/>
        </w:rPr>
      </w:pPr>
      <w:r>
        <w:rPr>
          <w:szCs w:val="24"/>
        </w:rPr>
        <w:t xml:space="preserve">Кодовое обозначение</w:t>
      </w:r>
      <w:r>
        <w:rPr>
          <w:szCs w:val="24"/>
        </w:rPr>
        <w:t xml:space="preserve"> – С3</w:t>
      </w:r>
      <w:r>
        <w:rPr>
          <w:szCs w:val="24"/>
        </w:rPr>
      </w:r>
      <w:r>
        <w:rPr>
          <w:szCs w:val="24"/>
        </w:rPr>
      </w:r>
    </w:p>
    <w:p>
      <w:pPr>
        <w:pStyle w:val="890"/>
        <w:numPr>
          <w:ilvl w:val="0"/>
          <w:numId w:val="6"/>
        </w:numPr>
        <w:ind w:right="0"/>
        <w:jc w:val="both"/>
        <w:spacing w:after="0" w:line="240" w:lineRule="auto"/>
        <w:tabs>
          <w:tab w:val="left" w:pos="851" w:leader="none"/>
          <w:tab w:val="left" w:pos="1134" w:leader="none"/>
        </w:tabs>
      </w:pPr>
      <w:r>
        <w:rPr>
          <w:szCs w:val="24"/>
          <w:highlight w:val="none"/>
        </w:rPr>
        <w:t xml:space="preserve">В пределах территориальной зоны установлена подзона:</w:t>
      </w:r>
      <w:r>
        <w:rPr>
          <w:szCs w:val="24"/>
          <w:highlight w:val="none"/>
        </w:rPr>
      </w:r>
      <w:r/>
    </w:p>
    <w:p>
      <w:pPr>
        <w:ind w:left="1417" w:right="0" w:firstLine="0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</w:rPr>
        <w:t xml:space="preserve">Подзона зоны режимных территорий</w:t>
      </w:r>
      <w:r>
        <w:rPr>
          <w:szCs w:val="24"/>
        </w:rPr>
        <w:t xml:space="preserve"> </w:t>
      </w:r>
      <w:r>
        <w:rPr>
          <w:szCs w:val="24"/>
        </w:rPr>
        <w:t xml:space="preserve">в границах ООПТ, кодовое обозначение </w:t>
      </w:r>
      <w:r>
        <w:rPr>
          <w:szCs w:val="24"/>
        </w:rPr>
        <w:t xml:space="preserve">С-3</w:t>
      </w:r>
      <w:r>
        <w:rPr>
          <w:szCs w:val="24"/>
        </w:rPr>
        <w:t xml:space="preserve">-</w:t>
      </w:r>
      <w:r>
        <w:rPr>
          <w:szCs w:val="24"/>
        </w:rPr>
        <w:t xml:space="preserve">О</w:t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pStyle w:val="890"/>
        <w:numPr>
          <w:ilvl w:val="0"/>
          <w:numId w:val="6"/>
        </w:numPr>
        <w:ind w:right="0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highlight w:val="none"/>
        </w:rPr>
      </w:pPr>
      <w:r>
        <w:rPr>
          <w:szCs w:val="24"/>
          <w:highlight w:val="none"/>
        </w:rPr>
        <w:t xml:space="preserve">Виды разрешенного использования земельных участков</w:t>
      </w:r>
      <w:r>
        <w:rPr>
          <w:szCs w:val="24"/>
          <w:highlight w:val="none"/>
        </w:rPr>
      </w:r>
      <w:r>
        <w:rPr>
          <w:highlight w:val="none"/>
        </w:rPr>
      </w:r>
      <w:r>
        <w:rPr>
          <w:szCs w:val="24"/>
          <w:highlight w:val="none"/>
        </w:rPr>
      </w:r>
      <w:r>
        <w:rPr>
          <w:szCs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583" w:type="pct"/>
        <w:tblInd w:w="4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207"/>
        <w:gridCol w:w="129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left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zh-CN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zh-CN"/>
              </w:rPr>
              <w:t xml:space="preserve">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zh-CN"/>
              </w:rPr>
              <w:t xml:space="preserve">/п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u w:val="single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Основные виды разрешенного использования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1.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7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widowControl w:val="o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Обеспечение обороны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и безопасности</w:t>
            </w:r>
            <w:r>
              <w:rPr>
                <w:rFonts w:eastAsia="Times New Roman"/>
                <w:sz w:val="22"/>
                <w:szCs w:val="22"/>
              </w:rPr>
            </w: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1.3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>
          <w:trHeight w:val="27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Условно разрешенные виды использования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2.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установлены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–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Вспомогательные виды разрешенного использования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3.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установлены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–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</w:tbl>
    <w:p>
      <w:pPr>
        <w:ind w:right="142"/>
        <w:jc w:val="both"/>
        <w:spacing w:after="0" w:line="360" w:lineRule="auto"/>
        <w:tabs>
          <w:tab w:val="left" w:pos="851" w:leader="none"/>
          <w:tab w:val="left" w:pos="1134" w:leader="none"/>
        </w:tabs>
        <w:rPr>
          <w:sz w:val="8"/>
          <w:szCs w:val="8"/>
        </w:rPr>
      </w:pPr>
      <w:r>
        <w:rPr>
          <w:sz w:val="8"/>
          <w:szCs w:val="8"/>
        </w:rPr>
      </w:r>
      <w:r>
        <w:rPr>
          <w:sz w:val="8"/>
          <w:szCs w:val="8"/>
        </w:rPr>
      </w:r>
    </w:p>
    <w:p>
      <w:pPr>
        <w:pStyle w:val="890"/>
        <w:numPr>
          <w:ilvl w:val="0"/>
          <w:numId w:val="6"/>
        </w:numPr>
        <w:ind w:right="142"/>
        <w:jc w:val="both"/>
        <w:spacing w:after="0" w:line="240" w:lineRule="auto"/>
        <w:tabs>
          <w:tab w:val="left" w:pos="851" w:leader="none"/>
          <w:tab w:val="left" w:pos="1134" w:leader="none"/>
        </w:tabs>
      </w:pPr>
      <w: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зоне </w:t>
      </w:r>
      <w:r>
        <w:rPr>
          <w:szCs w:val="24"/>
        </w:rPr>
        <w:t xml:space="preserve">С3</w:t>
      </w:r>
      <w:r/>
      <w:r>
        <w:rPr>
          <w:highlight w:val="none"/>
        </w:rPr>
      </w:r>
      <w:r>
        <w:rPr>
          <w:highlight w:val="none"/>
        </w:rPr>
      </w:r>
      <w:r/>
      <w:r/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63"/>
        <w:gridCol w:w="5235"/>
        <w:gridCol w:w="1779"/>
        <w:gridCol w:w="1668"/>
      </w:tblGrid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№ п/п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ед. измерения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Минимальное значение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Максимальное значение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2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Предельные (минимальные и (или) максимальные) размеры земельных участков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1.1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минимальные и (или) максимальные площади земельных участков, кв. м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1.2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иные предельные размеры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2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3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</w:t>
            </w:r>
            <w:r>
              <w:rPr>
                <w:rFonts w:eastAsia="Calibri"/>
                <w:sz w:val="22"/>
                <w:lang w:eastAsia="ru-RU"/>
              </w:rPr>
              <w:t xml:space="preserve">редельное количество этажей или предельная высота зданий, строений, сооружений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3.1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</w:t>
            </w:r>
            <w:r>
              <w:rPr>
                <w:rFonts w:eastAsia="Calibri"/>
                <w:sz w:val="22"/>
                <w:lang w:eastAsia="ru-RU"/>
              </w:rPr>
              <w:t xml:space="preserve">редельное количество этажей зданий, строений, сооружений, </w:t>
            </w:r>
            <w:r>
              <w:rPr>
                <w:rFonts w:eastAsia="Calibri"/>
                <w:sz w:val="22"/>
                <w:lang w:eastAsia="ru-RU"/>
              </w:rPr>
              <w:t xml:space="preserve">эт</w:t>
            </w:r>
            <w:r>
              <w:rPr>
                <w:rFonts w:eastAsia="Calibri"/>
                <w:sz w:val="22"/>
                <w:lang w:eastAsia="ru-RU"/>
              </w:rPr>
              <w:t xml:space="preserve">.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4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</w:tbl>
    <w:p>
      <w:pPr>
        <w:pStyle w:val="890"/>
        <w:numPr>
          <w:ilvl w:val="0"/>
          <w:numId w:val="6"/>
        </w:numPr>
        <w:contextualSpacing/>
        <w:jc w:val="both"/>
        <w:keepNext/>
        <w:spacing w:before="120" w:after="0" w:line="240" w:lineRule="auto"/>
        <w:rPr>
          <w:rFonts w:eastAsia="Times New Roman"/>
          <w:sz w:val="22"/>
          <w:szCs w:val="22"/>
          <w:u w:val="single"/>
        </w:rPr>
        <w:suppressLineNumbers w:val="0"/>
      </w:pPr>
      <w:r>
        <w:rPr>
          <w:rFonts w:eastAsia="Times New Roman"/>
          <w:sz w:val="22"/>
          <w:highlight w:val="none"/>
          <w:u w:val="single"/>
          <w:lang w:eastAsia="ru-RU"/>
        </w:rPr>
      </w:r>
      <w: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</w:t>
      </w:r>
      <w:r>
        <w:rPr>
          <w:rFonts w:eastAsia="Times New Roman"/>
          <w:sz w:val="22"/>
          <w:u w:val="none"/>
          <w:lang w:eastAsia="ru-RU"/>
        </w:rPr>
        <w:t xml:space="preserve">под</w:t>
      </w:r>
      <w:r>
        <w:rPr>
          <w:rFonts w:eastAsia="Times New Roman"/>
          <w:sz w:val="22"/>
          <w:u w:val="none"/>
          <w:lang w:eastAsia="ru-RU"/>
        </w:rPr>
        <w:t xml:space="preserve">зоне С-</w:t>
      </w:r>
      <w:r>
        <w:rPr>
          <w:rFonts w:eastAsia="Times New Roman"/>
          <w:sz w:val="22"/>
          <w:u w:val="none"/>
          <w:lang w:eastAsia="ru-RU"/>
        </w:rPr>
        <w:t xml:space="preserve">3</w:t>
      </w:r>
      <w:r>
        <w:rPr>
          <w:rFonts w:eastAsia="Times New Roman"/>
          <w:sz w:val="22"/>
          <w:u w:val="none"/>
          <w:lang w:eastAsia="ru-RU"/>
        </w:rPr>
        <w:t xml:space="preserve">-О</w:t>
      </w:r>
      <w:r>
        <w:rPr>
          <w:rFonts w:eastAsia="Times New Roman"/>
          <w:sz w:val="22"/>
          <w:szCs w:val="22"/>
          <w:u w:val="single"/>
          <w:lang w:eastAsia="ru-RU"/>
        </w:rPr>
      </w:r>
      <w:r>
        <w:rPr>
          <w:rFonts w:eastAsia="Times New Roman"/>
          <w:sz w:val="22"/>
          <w:szCs w:val="22"/>
          <w:u w:val="single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63"/>
        <w:gridCol w:w="5235"/>
        <w:gridCol w:w="1723"/>
        <w:gridCol w:w="56"/>
        <w:gridCol w:w="1668"/>
      </w:tblGrid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№ п/п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ед. измерения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Минимальное значение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Максимальное значение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2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Предельные (минимальные и (или) максимальные) размеры земельных участков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1.1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минимальные и (или) максимальные площади земельных участков, кв. м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1.2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иные предельные размеры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2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подлежат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3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</w:t>
            </w:r>
            <w:r>
              <w:rPr>
                <w:rFonts w:eastAsia="Calibri"/>
                <w:sz w:val="22"/>
                <w:lang w:eastAsia="ru-RU"/>
              </w:rPr>
              <w:t xml:space="preserve">редельное количество этажей или предельная высота зданий, строений, сооружений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3.1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</w:t>
            </w:r>
            <w:r>
              <w:rPr>
                <w:rFonts w:eastAsia="Calibri"/>
                <w:sz w:val="22"/>
                <w:lang w:eastAsia="ru-RU"/>
              </w:rPr>
              <w:t xml:space="preserve">редельная высота зданий, строений, сооружений, м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подлежит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2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12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4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не подлежит установлению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2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20</w:t>
            </w:r>
            <w:r>
              <w:rPr>
                <w:rFonts w:eastAsia="Calibri"/>
                <w:sz w:val="22"/>
                <w:lang w:eastAsia="ru-RU"/>
              </w:rPr>
            </w:r>
            <w:r>
              <w:rPr>
                <w:rFonts w:eastAsia="Calibri"/>
                <w:sz w:val="22"/>
                <w:lang w:eastAsia="ru-RU"/>
              </w:rPr>
            </w:r>
          </w:p>
        </w:tc>
      </w:tr>
    </w:tbl>
    <w:p>
      <w:pPr>
        <w:contextualSpacing w:val="0"/>
        <w:ind w:right="140"/>
        <w:jc w:val="right"/>
        <w:spacing w:before="0" w:after="0" w:line="276" w:lineRule="auto"/>
        <w:tabs>
          <w:tab w:val="left" w:pos="851" w:leader="none"/>
          <w:tab w:val="left" w:pos="1134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90"/>
        <w:numPr>
          <w:ilvl w:val="2"/>
          <w:numId w:val="3"/>
        </w:numPr>
        <w:contextualSpacing/>
        <w:ind w:left="0" w:firstLine="709"/>
        <w:jc w:val="left"/>
        <w:spacing w:before="0" w:after="0" w:line="276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  <w:u w:val="single"/>
        </w:rPr>
        <w:suppressLineNumbers w:val="0"/>
      </w:pP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 раздела «</w:t>
      </w:r>
      <w:r>
        <w:rPr>
          <w:b/>
          <w:bCs/>
          <w:sz w:val="24"/>
          <w:szCs w:val="24"/>
        </w:rPr>
        <w:t xml:space="preserve">ТЕРРИТОРИИ, ДЛЯ КОТОРЫХ ГРАДОСТРОИТЕЛЬНЫЕ РЕГЛАМЕНТЫ НЕ УСТАНАВЛИВАЮТСЯ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27.2 </w:t>
      </w:r>
      <w:r>
        <w:rPr>
          <w:sz w:val="28"/>
          <w:szCs w:val="28"/>
        </w:rPr>
        <w:t xml:space="preserve">части </w:t>
      </w:r>
      <w:r>
        <w:rPr>
          <w:color w:val="000000"/>
          <w:sz w:val="28"/>
          <w:szCs w:val="28"/>
          <w14:ligatures w14:val="standardContextual"/>
        </w:rPr>
        <w:t xml:space="preserve">III</w:t>
      </w:r>
      <w:r>
        <w:rPr>
          <w:sz w:val="28"/>
          <w:szCs w:val="28"/>
        </w:rPr>
        <w:t xml:space="preserve"> исключить текст </w:t>
      </w:r>
      <w:r>
        <w:rPr>
          <w:sz w:val="28"/>
          <w:szCs w:val="28"/>
        </w:rPr>
        <w:t xml:space="preserve">следующего содержания: 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contextualSpacing w:val="0"/>
        <w:jc w:val="left"/>
        <w:spacing w:before="0" w:after="0" w:line="240" w:lineRule="auto"/>
        <w:widowControl w:val="off"/>
        <w:tabs>
          <w:tab w:val="left" w:pos="720" w:leader="none"/>
          <w:tab w:val="left" w:pos="851" w:leader="none"/>
        </w:tabs>
        <w:rPr>
          <w:rFonts w:eastAsia="Times New Roman"/>
          <w:b/>
          <w:bCs/>
          <w:caps/>
          <w:sz w:val="28"/>
          <w:szCs w:val="28"/>
        </w:rPr>
        <w:suppressLineNumbers w:val="0"/>
      </w:pPr>
      <w:r>
        <w:rPr>
          <w:sz w:val="28"/>
          <w:szCs w:val="28"/>
        </w:rPr>
        <w:t xml:space="preserve">«</w:t>
      </w:r>
      <w:r>
        <w:rPr>
          <w:rFonts w:eastAsia="Times New Roman"/>
          <w:b/>
          <w:bCs/>
          <w:caps/>
          <w:sz w:val="24"/>
          <w:szCs w:val="24"/>
          <w:lang w:eastAsia="ru-RU"/>
        </w:rPr>
        <w:t xml:space="preserve">Земли обороны и безопасности</w:t>
      </w:r>
      <w:r>
        <w:rPr>
          <w:sz w:val="28"/>
          <w:szCs w:val="28"/>
        </w:rPr>
      </w:r>
      <w:r>
        <w:rPr>
          <w:rFonts w:eastAsia="Times New Roman"/>
          <w:b/>
          <w:bCs/>
          <w:caps/>
          <w:sz w:val="28"/>
          <w:szCs w:val="28"/>
        </w:rPr>
      </w:r>
    </w:p>
    <w:p>
      <w:pPr>
        <w:spacing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rFonts w:eastAsia="Times New Roman"/>
          <w:b/>
          <w:bCs/>
          <w:caps/>
          <w:sz w:val="28"/>
          <w:szCs w:val="28"/>
          <w:lang w:eastAsia="ru-RU"/>
        </w:rPr>
      </w:r>
      <w:r>
        <w:rPr>
          <w:rFonts w:eastAsia="Times New Roman"/>
          <w:sz w:val="28"/>
          <w:szCs w:val="28"/>
          <w:lang w:eastAsia="ru-RU"/>
        </w:rPr>
        <w:t xml:space="preserve">Порядок использования и охраны земель обороны и безопасности определяется Земельным кодексом Российской Федерации от 25 октября 2001 № 136-ФЗ.</w:t>
      </w:r>
      <w:r>
        <w:rPr>
          <w:rFonts w:eastAsia="Times New Roman"/>
          <w:sz w:val="28"/>
          <w:szCs w:val="28"/>
          <w:lang w:eastAsia="ru-RU"/>
        </w:rPr>
        <w:t xml:space="preserve">»</w:t>
      </w:r>
      <w:r>
        <w:rPr>
          <w:rFonts w:eastAsia="Times New Roman"/>
          <w:sz w:val="28"/>
          <w:szCs w:val="28"/>
          <w:lang w:eastAsia="ru-RU"/>
        </w:rPr>
        <w:t xml:space="preserve">.</w:t>
      </w:r>
      <w:r>
        <w:rPr>
          <w:sz w:val="28"/>
          <w:szCs w:val="28"/>
        </w:rPr>
      </w:r>
    </w:p>
    <w:p>
      <w:pPr>
        <w:pStyle w:val="890"/>
        <w:numPr>
          <w:ilvl w:val="2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карте градостроительного зонирования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1"/>
          <w:numId w:val="4"/>
        </w:numPr>
        <w:ind w:left="0" w:firstLine="709"/>
        <w:jc w:val="both"/>
        <w:spacing w:after="0"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территориальной зоны </w:t>
      </w:r>
      <w:r>
        <w:rPr>
          <w:sz w:val="28"/>
          <w:szCs w:val="28"/>
        </w:rPr>
        <w:t xml:space="preserve">С-3</w:t>
      </w:r>
      <w:r>
        <w:rPr>
          <w:sz w:val="28"/>
          <w:szCs w:val="28"/>
        </w:rPr>
        <w:t xml:space="preserve"> «Зона режимных территорий»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1"/>
          <w:numId w:val="4"/>
        </w:numPr>
        <w:ind w:left="0" w:firstLine="709"/>
        <w:jc w:val="both"/>
        <w:spacing w:after="0"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установить границы</w:t>
      </w:r>
      <w:r>
        <w:rPr>
          <w:sz w:val="28"/>
          <w:szCs w:val="28"/>
        </w:rPr>
        <w:t xml:space="preserve"> подзоны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С-3-О </w:t>
      </w:r>
      <w:r>
        <w:rPr>
          <w:sz w:val="28"/>
          <w:szCs w:val="28"/>
        </w:rPr>
        <w:t xml:space="preserve">«Подзона зоны режимных территорий в границах ООПТ».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2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На карте зон с особыми условиями территории изменить границы зон с ос</w:t>
      </w:r>
      <w:r>
        <w:rPr>
          <w:sz w:val="28"/>
          <w:szCs w:val="28"/>
        </w:rPr>
        <w:t xml:space="preserve">обыми условиями использования территорий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0"/>
          <w:numId w:val="5"/>
        </w:numPr>
        <w:jc w:val="both"/>
        <w:spacing w:after="0"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Н-3.1охранная зона объектов электроэнергетики;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0"/>
          <w:numId w:val="5"/>
        </w:numPr>
        <w:jc w:val="both"/>
        <w:spacing w:after="0" w:line="240" w:lineRule="auto"/>
        <w:widowControl w:val="off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Н-3.2 охранная зона трубопроводов (газопроводов).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numPr>
          <w:ilvl w:val="2"/>
          <w:numId w:val="3"/>
        </w:numPr>
        <w:ind w:left="0" w:firstLine="709"/>
        <w:jc w:val="both"/>
        <w:spacing w:after="0" w:line="240" w:lineRule="auto"/>
        <w:tabs>
          <w:tab w:val="left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риложени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«Сведения о границах территориальных зон»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 xml:space="preserve">описани</w:t>
      </w:r>
      <w:r>
        <w:rPr>
          <w:sz w:val="28"/>
          <w:szCs w:val="28"/>
        </w:rPr>
        <w:t xml:space="preserve">ем </w:t>
      </w:r>
      <w:r>
        <w:rPr>
          <w:sz w:val="28"/>
          <w:szCs w:val="28"/>
        </w:rPr>
        <w:t xml:space="preserve">местоположения границ территориальной зоны </w:t>
      </w:r>
      <w:r>
        <w:rPr>
          <w:sz w:val="28"/>
          <w:szCs w:val="28"/>
        </w:rPr>
        <w:t xml:space="preserve">С-3</w:t>
      </w:r>
      <w:r>
        <w:rPr>
          <w:sz w:val="28"/>
          <w:szCs w:val="28"/>
        </w:rPr>
        <w:t xml:space="preserve"> «Зона </w:t>
      </w:r>
      <w:r>
        <w:rPr>
          <w:sz w:val="28"/>
          <w:szCs w:val="28"/>
        </w:rPr>
        <w:t xml:space="preserve">режимных территорий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  <w:rPr>
        <w:rFonts w:hint="default"/>
      </w:rPr>
    </w:lvl>
    <w:lvl w:ilvl="2">
      <w:start w:val="3"/>
      <w:numFmt w:val="decimal"/>
      <w:isLgl w:val="false"/>
      <w:suff w:val="tab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‐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212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7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4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1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29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36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3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063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212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72"/>
    <w:link w:val="8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2 Char"/>
    <w:basedOn w:val="872"/>
    <w:link w:val="864"/>
    <w:uiPriority w:val="9"/>
    <w:rPr>
      <w:rFonts w:ascii="Liberation Sans" w:hAnsi="Liberation Sans" w:eastAsia="Liberation Sans" w:cs="Liberation Sans"/>
      <w:sz w:val="34"/>
    </w:rPr>
  </w:style>
  <w:style w:type="character" w:styleId="701">
    <w:name w:val="Heading 3 Char"/>
    <w:basedOn w:val="872"/>
    <w:link w:val="8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2">
    <w:name w:val="Heading 4 Char"/>
    <w:basedOn w:val="872"/>
    <w:link w:val="8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872"/>
    <w:link w:val="8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4">
    <w:name w:val="Heading 6 Char"/>
    <w:basedOn w:val="872"/>
    <w:link w:val="8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5">
    <w:name w:val="Heading 7 Char"/>
    <w:basedOn w:val="872"/>
    <w:link w:val="8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6">
    <w:name w:val="Heading 8 Char"/>
    <w:basedOn w:val="872"/>
    <w:link w:val="8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7">
    <w:name w:val="Heading 9 Char"/>
    <w:basedOn w:val="872"/>
    <w:link w:val="8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72"/>
    <w:link w:val="884"/>
    <w:uiPriority w:val="10"/>
    <w:rPr>
      <w:sz w:val="48"/>
      <w:szCs w:val="48"/>
    </w:rPr>
  </w:style>
  <w:style w:type="character" w:styleId="710">
    <w:name w:val="Subtitle Char"/>
    <w:basedOn w:val="872"/>
    <w:link w:val="886"/>
    <w:uiPriority w:val="11"/>
    <w:rPr>
      <w:sz w:val="24"/>
      <w:szCs w:val="24"/>
    </w:rPr>
  </w:style>
  <w:style w:type="character" w:styleId="711">
    <w:name w:val="Quote Char"/>
    <w:link w:val="888"/>
    <w:uiPriority w:val="29"/>
    <w:rPr>
      <w:i/>
    </w:rPr>
  </w:style>
  <w:style w:type="character" w:styleId="712">
    <w:name w:val="Intense Quote Char"/>
    <w:link w:val="892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72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72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72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2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7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8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19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0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1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2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23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4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6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7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8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9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0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1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33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4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5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6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7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8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72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72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ascii="Times New Roman" w:hAnsi="Times New Roman" w:cs="Times New Roman"/>
      <w:sz w:val="24"/>
      <w14:ligatures w14:val="none"/>
    </w:rPr>
  </w:style>
  <w:style w:type="paragraph" w:styleId="863">
    <w:name w:val="Heading 1"/>
    <w:basedOn w:val="862"/>
    <w:next w:val="862"/>
    <w:link w:val="875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64">
    <w:name w:val="Heading 2"/>
    <w:basedOn w:val="862"/>
    <w:next w:val="862"/>
    <w:link w:val="876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65">
    <w:name w:val="Heading 3"/>
    <w:basedOn w:val="862"/>
    <w:next w:val="862"/>
    <w:link w:val="877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866">
    <w:name w:val="Heading 4"/>
    <w:basedOn w:val="862"/>
    <w:next w:val="862"/>
    <w:link w:val="878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867">
    <w:name w:val="Heading 5"/>
    <w:basedOn w:val="862"/>
    <w:next w:val="862"/>
    <w:link w:val="879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868">
    <w:name w:val="Heading 6"/>
    <w:basedOn w:val="862"/>
    <w:next w:val="862"/>
    <w:link w:val="880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69">
    <w:name w:val="Heading 7"/>
    <w:basedOn w:val="862"/>
    <w:next w:val="862"/>
    <w:link w:val="881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70">
    <w:name w:val="Heading 8"/>
    <w:basedOn w:val="862"/>
    <w:next w:val="862"/>
    <w:link w:val="882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71">
    <w:name w:val="Heading 9"/>
    <w:basedOn w:val="862"/>
    <w:next w:val="862"/>
    <w:link w:val="883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character" w:styleId="875" w:customStyle="1">
    <w:name w:val="Заголовок 1 Знак"/>
    <w:basedOn w:val="872"/>
    <w:link w:val="863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76" w:customStyle="1">
    <w:name w:val="Заголовок 2 Знак"/>
    <w:basedOn w:val="872"/>
    <w:link w:val="864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77" w:customStyle="1">
    <w:name w:val="Заголовок 3 Знак"/>
    <w:basedOn w:val="872"/>
    <w:link w:val="865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78" w:customStyle="1">
    <w:name w:val="Заголовок 4 Знак"/>
    <w:basedOn w:val="872"/>
    <w:link w:val="866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79" w:customStyle="1">
    <w:name w:val="Заголовок 5 Знак"/>
    <w:basedOn w:val="872"/>
    <w:link w:val="867"/>
    <w:uiPriority w:val="9"/>
    <w:semiHidden/>
    <w:rPr>
      <w:rFonts w:eastAsiaTheme="majorEastAsia" w:cstheme="majorBidi"/>
      <w:color w:val="2f5496" w:themeColor="accent1" w:themeShade="BF"/>
    </w:rPr>
  </w:style>
  <w:style w:type="character" w:styleId="880" w:customStyle="1">
    <w:name w:val="Заголовок 6 Знак"/>
    <w:basedOn w:val="872"/>
    <w:link w:val="868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81" w:customStyle="1">
    <w:name w:val="Заголовок 7 Знак"/>
    <w:basedOn w:val="872"/>
    <w:link w:val="869"/>
    <w:uiPriority w:val="9"/>
    <w:semiHidden/>
    <w:rPr>
      <w:rFonts w:eastAsiaTheme="majorEastAsia" w:cstheme="majorBidi"/>
      <w:color w:val="595959" w:themeColor="text1" w:themeTint="A6"/>
    </w:rPr>
  </w:style>
  <w:style w:type="character" w:styleId="882" w:customStyle="1">
    <w:name w:val="Заголовок 8 Знак"/>
    <w:basedOn w:val="872"/>
    <w:link w:val="870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83" w:customStyle="1">
    <w:name w:val="Заголовок 9 Знак"/>
    <w:basedOn w:val="872"/>
    <w:link w:val="871"/>
    <w:uiPriority w:val="9"/>
    <w:semiHidden/>
    <w:rPr>
      <w:rFonts w:eastAsiaTheme="majorEastAsia" w:cstheme="majorBidi"/>
      <w:color w:val="272727" w:themeColor="text1" w:themeTint="D8"/>
    </w:rPr>
  </w:style>
  <w:style w:type="paragraph" w:styleId="884">
    <w:name w:val="Title"/>
    <w:basedOn w:val="862"/>
    <w:next w:val="862"/>
    <w:link w:val="885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85" w:customStyle="1">
    <w:name w:val="Заголовок Знак"/>
    <w:basedOn w:val="872"/>
    <w:link w:val="884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86">
    <w:name w:val="Subtitle"/>
    <w:basedOn w:val="862"/>
    <w:next w:val="862"/>
    <w:link w:val="88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87" w:customStyle="1">
    <w:name w:val="Подзаголовок Знак"/>
    <w:basedOn w:val="872"/>
    <w:link w:val="88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88">
    <w:name w:val="Quote"/>
    <w:basedOn w:val="862"/>
    <w:next w:val="862"/>
    <w:link w:val="889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89" w:customStyle="1">
    <w:name w:val="Цитата 2 Знак"/>
    <w:basedOn w:val="872"/>
    <w:link w:val="888"/>
    <w:uiPriority w:val="29"/>
    <w:rPr>
      <w:i/>
      <w:iCs/>
      <w:color w:val="404040" w:themeColor="text1" w:themeTint="BF"/>
    </w:rPr>
  </w:style>
  <w:style w:type="paragraph" w:styleId="890">
    <w:name w:val="List Paragraph"/>
    <w:basedOn w:val="862"/>
    <w:link w:val="897"/>
    <w:uiPriority w:val="34"/>
    <w:qFormat/>
    <w:pPr>
      <w:contextualSpacing/>
      <w:ind w:left="720"/>
    </w:pPr>
  </w:style>
  <w:style w:type="character" w:styleId="891">
    <w:name w:val="Intense Emphasis"/>
    <w:basedOn w:val="872"/>
    <w:uiPriority w:val="21"/>
    <w:qFormat/>
    <w:rPr>
      <w:i/>
      <w:iCs/>
      <w:color w:val="2f5496" w:themeColor="accent1" w:themeShade="BF"/>
    </w:rPr>
  </w:style>
  <w:style w:type="paragraph" w:styleId="892">
    <w:name w:val="Intense Quote"/>
    <w:basedOn w:val="862"/>
    <w:next w:val="862"/>
    <w:link w:val="893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93" w:customStyle="1">
    <w:name w:val="Выделенная цитата Знак"/>
    <w:basedOn w:val="872"/>
    <w:link w:val="892"/>
    <w:uiPriority w:val="30"/>
    <w:rPr>
      <w:i/>
      <w:iCs/>
      <w:color w:val="2f5496" w:themeColor="accent1" w:themeShade="BF"/>
    </w:rPr>
  </w:style>
  <w:style w:type="character" w:styleId="894">
    <w:name w:val="Intense Reference"/>
    <w:basedOn w:val="872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895">
    <w:name w:val="Body Text"/>
    <w:basedOn w:val="862"/>
    <w:link w:val="896"/>
    <w:uiPriority w:val="1"/>
    <w:qFormat/>
    <w:pPr>
      <w:spacing w:after="0" w:line="240" w:lineRule="auto"/>
      <w:widowControl w:val="off"/>
    </w:pPr>
    <w:rPr>
      <w:rFonts w:eastAsia="Times New Roman"/>
      <w:sz w:val="27"/>
      <w:szCs w:val="27"/>
    </w:rPr>
  </w:style>
  <w:style w:type="character" w:styleId="896" w:customStyle="1">
    <w:name w:val="Основной текст Знак"/>
    <w:basedOn w:val="872"/>
    <w:link w:val="895"/>
    <w:uiPriority w:val="1"/>
    <w:rPr>
      <w:rFonts w:ascii="Times New Roman" w:hAnsi="Times New Roman" w:eastAsia="Times New Roman" w:cs="Times New Roman"/>
      <w:sz w:val="27"/>
      <w:szCs w:val="27"/>
      <w14:ligatures w14:val="none"/>
    </w:rPr>
  </w:style>
  <w:style w:type="character" w:styleId="897" w:customStyle="1">
    <w:name w:val="Абзац списка Знак"/>
    <w:link w:val="890"/>
    <w:uiPriority w:val="34"/>
  </w:style>
  <w:style w:type="character" w:styleId="898" w:customStyle="1">
    <w:name w:val="Другое_"/>
    <w:basedOn w:val="872"/>
    <w:link w:val="899"/>
    <w:rPr>
      <w:rFonts w:eastAsia="Times New Roman"/>
      <w:sz w:val="26"/>
      <w:szCs w:val="26"/>
      <w:shd w:val="clear" w:color="auto" w:fill="ffffff"/>
    </w:rPr>
  </w:style>
  <w:style w:type="paragraph" w:styleId="899" w:customStyle="1">
    <w:name w:val="Другое"/>
    <w:basedOn w:val="862"/>
    <w:link w:val="898"/>
    <w:pPr>
      <w:spacing w:after="0" w:line="240" w:lineRule="auto"/>
      <w:shd w:val="clear" w:color="auto" w:fill="ffffff"/>
      <w:widowControl w:val="off"/>
    </w:pPr>
    <w:rPr>
      <w:rFonts w:eastAsia="Times New Roman" w:asciiTheme="minorHAnsi" w:hAnsiTheme="minorHAnsi" w:cstheme="minorBidi"/>
      <w:sz w:val="26"/>
      <w:szCs w:val="26"/>
      <w14:ligatures w14:val="standardContextual"/>
    </w:rPr>
  </w:style>
  <w:style w:type="character" w:styleId="900">
    <w:name w:val="Hyperlink"/>
    <w:basedOn w:val="872"/>
    <w:uiPriority w:val="99"/>
    <w:unhideWhenUsed/>
    <w:rPr>
      <w:color w:val="0563c1" w:themeColor="hyperlink"/>
      <w:u w:val="single"/>
    </w:rPr>
  </w:style>
  <w:style w:type="character" w:styleId="901">
    <w:name w:val="Unresolved Mention"/>
    <w:basedOn w:val="87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Юлдашев Тимур Рашидович</dc:creator>
  <cp:keywords/>
  <dc:description/>
  <cp:lastModifiedBy>aa_richkova</cp:lastModifiedBy>
  <cp:revision>46</cp:revision>
  <dcterms:created xsi:type="dcterms:W3CDTF">2026-07-21T07:53:00Z</dcterms:created>
  <dcterms:modified xsi:type="dcterms:W3CDTF">2026-10-29T12:35:28Z</dcterms:modified>
</cp:coreProperties>
</file>