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77"/>
        <w:tblW w:w="4106" w:type="dxa"/>
        <w:tblInd w:w="52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06"/>
      </w:tblGrid>
      <w:tr>
        <w:tblPrEx/>
        <w:trPr/>
        <w:tc>
          <w:tcPr>
            <w:tcW w:w="41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Приложение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приказу комитета по сохранению культурного наследия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Ленинградской области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«___» _______________ 2026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jc w:val="center"/>
              <w:spacing w:before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__________________________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jc w:val="both"/>
        <w:spacing w:after="80" w:line="240" w:lineRule="auto"/>
      </w:pPr>
      <w:r/>
      <w:r/>
    </w:p>
    <w:p>
      <w:pPr>
        <w:jc w:val="center"/>
        <w:spacing w:after="200" w:line="240" w:lineRule="auto"/>
      </w:pPr>
      <w:r>
        <w:rPr>
          <w:rFonts w:ascii="Times New Roman" w:hAnsi="Times New Roman" w:eastAsia="Times New Roman"/>
          <w:b/>
          <w:sz w:val="24"/>
        </w:rPr>
        <w:t xml:space="preserve">Предмет охраны объекта культурного наследия </w:t>
      </w:r>
      <w:r>
        <w:rPr>
          <w:rFonts w:ascii="Times New Roman" w:hAnsi="Times New Roman" w:eastAsia="Times New Roman"/>
          <w:b/>
          <w:sz w:val="24"/>
        </w:rPr>
      </w:r>
      <w:r>
        <w:rPr>
          <w:rFonts w:ascii="Times New Roman" w:hAnsi="Times New Roman" w:eastAsia="Times New Roman"/>
          <w:b/>
          <w:sz w:val="24"/>
        </w:rPr>
        <w:t xml:space="preserve">федерального значения </w:t>
        <w:br/>
        <w:t xml:space="preserve">«Памятник «Невский пятачок», входящего в состав объекта культурного наследия федерального значения «Ансамбль «Зеленый пояс Славы Ленинграда», расположенного по адресу: Ленинградская область, Кировский район, км 51+400 автомобильной дор</w:t>
      </w:r>
      <w:r>
        <w:rPr>
          <w:rFonts w:ascii="Times New Roman" w:hAnsi="Times New Roman" w:eastAsia="Times New Roman"/>
          <w:b/>
          <w:sz w:val="24"/>
        </w:rPr>
        <w:t xml:space="preserve">оги Санкт-Петербург – Кировск</w:t>
      </w:r>
      <w:r>
        <w:rPr>
          <w:rFonts w:ascii="Times New Roman" w:hAnsi="Times New Roman" w:eastAsia="Times New Roman"/>
          <w:b/>
          <w:sz w:val="24"/>
        </w:rPr>
      </w:r>
      <w:r>
        <w:rPr>
          <w:rFonts w:ascii="Times New Roman" w:hAnsi="Times New Roman" w:eastAsia="Times New Roman"/>
          <w:b/>
          <w:sz w:val="24"/>
        </w:rPr>
      </w:r>
      <w:r/>
      <w:r>
        <w:rPr>
          <w:rFonts w:ascii="Times New Roman" w:hAnsi="Times New Roman" w:eastAsia="Times New Roman"/>
          <w:b/>
          <w:sz w:val="24"/>
        </w:rPr>
      </w:r>
    </w:p>
    <w:tbl>
      <w:tblPr>
        <w:tblStyle w:val="877"/>
        <w:tblW w:w="9354" w:type="dxa"/>
        <w:tblLayout w:type="fixed"/>
        <w:tblLook w:val="04A0" w:firstRow="1" w:lastRow="0" w:firstColumn="1" w:lastColumn="0" w:noHBand="0" w:noVBand="1"/>
      </w:tblPr>
      <w:tblGrid>
        <w:gridCol w:w="539"/>
        <w:gridCol w:w="2323"/>
        <w:gridCol w:w="2691"/>
        <w:gridCol w:w="3801"/>
      </w:tblGrid>
      <w:tr>
        <w:tblPrEx/>
        <w:trPr>
          <w:trHeight w:val="680"/>
          <w:tblHeader/>
        </w:trPr>
        <w:tc>
          <w:tcPr>
            <w:tcW w:w="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23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Виды предмета охраны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269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Элементы предмета охраны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38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Фотофиксация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Градостроительные характеристики, историческое местоположение</w:t>
            </w:r>
            <w:r/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Местоположение объекта культурного наследия </w:t>
              <w:br/>
              <w:t xml:space="preserve">на 51–53 км шоссе Санкт-Петербург — Кировск, </w:t>
              <w:br/>
              <w:t xml:space="preserve">на верхней береговой террасе реки Невы </w:t>
              <w:br/>
              <w:t xml:space="preserve">с сохранившимися следами земляных оборонительных сооружений — плацдарма на левом берегу реки Невы, захваченного </w:t>
            </w:r>
            <w:r>
              <w:rPr>
                <w:rFonts w:ascii="Times New Roman" w:hAnsi="Times New Roman" w:eastAsia="Times New Roman"/>
              </w:rPr>
              <w:br/>
              <w:t xml:space="preserve">и удерживаемого советскими войсками Ленинградского фронта </w:t>
            </w:r>
            <w:r>
              <w:rPr>
                <w:rFonts w:ascii="Times New Roman" w:hAnsi="Times New Roman" w:eastAsia="Times New Roman"/>
              </w:rPr>
              <w:br/>
              <w:t xml:space="preserve">с 19.09.1941 г. </w:t>
            </w:r>
            <w:r>
              <w:rPr>
                <w:rFonts w:ascii="Times New Roman" w:hAnsi="Times New Roman" w:eastAsia="Times New Roman"/>
              </w:rPr>
              <w:br/>
              <w:t xml:space="preserve">по 29.04.1942 г. </w:t>
            </w:r>
            <w:r>
              <w:rPr>
                <w:rFonts w:ascii="Times New Roman" w:hAnsi="Times New Roman" w:eastAsia="Times New Roman"/>
              </w:rPr>
              <w:br/>
              <w:t xml:space="preserve">и с 26.09.1942 г. </w:t>
            </w:r>
            <w:r>
              <w:rPr>
                <w:rFonts w:ascii="Times New Roman" w:hAnsi="Times New Roman" w:eastAsia="Times New Roman"/>
              </w:rPr>
              <w:br/>
              <w:t xml:space="preserve">по 17.02.1943 г. в ходе битвы за Ленинград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1390" cy="3079630"/>
                      <wp:effectExtent l="0" t="0" r="0" b="6985"/>
                      <wp:docPr id="1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3744" cy="30828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70pt;height:242.49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Объемно-пространственное и планировочное решение комплекса в целом</w:t>
            </w:r>
            <w:r/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Территория ансамбля </w:t>
            </w:r>
            <w:r>
              <w:rPr>
                <w:rFonts w:ascii="Times New Roman" w:hAnsi="Times New Roman" w:eastAsia="Times New Roman"/>
              </w:rPr>
              <w:br/>
              <w:t xml:space="preserve">с запада вытянута вдоль береговой линии </w:t>
            </w:r>
            <w:r>
              <w:rPr>
                <w:rFonts w:ascii="Times New Roman" w:hAnsi="Times New Roman" w:eastAsia="Times New Roman"/>
              </w:rPr>
              <w:br/>
              <w:t xml:space="preserve">и повторяет изгиб русла Невы, с востока — </w:t>
            </w:r>
            <w:r>
              <w:rPr>
                <w:rFonts w:ascii="Times New Roman" w:hAnsi="Times New Roman" w:eastAsia="Times New Roman"/>
              </w:rPr>
              <w:br/>
              <w:t xml:space="preserve">ул. Набережная, с севера ограничена жилым массивом, с юга — прилегающими земельными участками.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</w:rPr>
            </w:r>
            <w:r>
              <w:rPr>
                <w:rFonts w:ascii="Times New Roman" w:hAnsi="Times New Roman" w:eastAsia="Times New Roman"/>
                <w:sz w:val="14"/>
                <w:szCs w:val="14"/>
              </w:rPr>
            </w:r>
            <w:r>
              <w:rPr>
                <w:rFonts w:ascii="Times New Roman" w:hAnsi="Times New Roman" w:eastAsia="Times New Roman"/>
                <w:sz w:val="14"/>
                <w:szCs w:val="14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Ансамбль организован </w:t>
            </w:r>
            <w:r>
              <w:rPr>
                <w:rFonts w:ascii="Times New Roman" w:hAnsi="Times New Roman" w:eastAsia="Times New Roman"/>
              </w:rPr>
              <w:br/>
              <w:t xml:space="preserve">по принципу двух композиционных центров, объединённых единой пространственной осью и связанных аллеей.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/>
                <w:sz w:val="14"/>
                <w:szCs w:val="14"/>
              </w:rPr>
            </w:r>
            <w:r>
              <w:rPr>
                <w:rFonts w:ascii="Times New Roman" w:hAnsi="Times New Roman" w:eastAsia="Times New Roman"/>
                <w:sz w:val="14"/>
                <w:szCs w:val="14"/>
              </w:rPr>
            </w:r>
            <w:r>
              <w:rPr>
                <w:rFonts w:ascii="Times New Roman" w:hAnsi="Times New Roman" w:eastAsia="Times New Roman"/>
                <w:sz w:val="14"/>
                <w:szCs w:val="14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Высотная доминанта комплекса — «Обелиск </w:t>
            </w:r>
            <w:r>
              <w:rPr>
                <w:rFonts w:ascii="Times New Roman" w:hAnsi="Times New Roman" w:eastAsia="Times New Roman"/>
              </w:rPr>
              <w:br/>
              <w:t xml:space="preserve">с оградой».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  <w:highlight w:val="none"/>
              </w:rPr>
            </w:r>
            <w:r>
              <w:rPr>
                <w:rFonts w:ascii="Times New Roman" w:hAnsi="Times New Roman" w:eastAsia="Times New Roman"/>
                <w:highlight w:val="none"/>
              </w:rPr>
            </w:r>
            <w:r/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  <w:highlight w:val="none"/>
              </w:rPr>
            </w:pPr>
            <w:r>
              <w:rPr>
                <w:rFonts w:ascii="Times New Roman" w:hAnsi="Times New Roman" w:eastAsia="Times New Roman"/>
              </w:rPr>
              <w:t xml:space="preserve">Композиционный центр — памятник «Рубежный камень»</w:t>
            </w:r>
            <w:r>
              <w:rPr>
                <w:rFonts w:ascii="Times New Roman" w:hAnsi="Times New Roman" w:eastAsia="Times New Roman"/>
                <w:highlight w:val="none"/>
              </w:rPr>
            </w:r>
          </w:p>
        </w:tc>
        <w:tc>
          <w:tcPr>
            <w:tcW w:w="3801" w:type="dxa"/>
            <w:vAlign w:val="center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2958519"/>
                      <wp:effectExtent l="0" t="0" r="0" b="0"/>
                      <wp:docPr id="2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rcRect l="18539" t="0" r="2078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29585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75.75pt;height:232.9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Исторический ландшафт территории</w:t>
            </w:r>
            <w:r/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Рельеф верхней береговой террасы </w:t>
            </w:r>
            <w:r>
              <w:rPr>
                <w:rFonts w:ascii="Times New Roman" w:hAnsi="Times New Roman" w:eastAsia="Times New Roman"/>
              </w:rPr>
              <w:br/>
              <w:t xml:space="preserve">с сохранившимися следами земляных окопов и воронок от разрывов снарядов.</w:t>
            </w:r>
            <w:r/>
          </w:p>
        </w:tc>
        <w:tc>
          <w:tcPr>
            <w:tcW w:w="3801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726994"/>
                      <wp:effectExtent l="0" t="0" r="0" b="6985"/>
                      <wp:docPr id="3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7269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75.75pt;height:135.98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Состав объекта культурного наследия</w:t>
            </w:r>
            <w:r/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Существующие объекты, расположенные </w:t>
            </w:r>
            <w:r>
              <w:rPr>
                <w:rFonts w:ascii="Times New Roman" w:hAnsi="Times New Roman" w:eastAsia="Times New Roman"/>
              </w:rPr>
              <w:br/>
              <w:t xml:space="preserve">на территории объекта культурного наследия </w:t>
            </w:r>
            <w:r>
              <w:rPr>
                <w:rFonts w:ascii="Times New Roman" w:hAnsi="Times New Roman" w:eastAsia="Times New Roman"/>
              </w:rPr>
              <w:br/>
              <w:t xml:space="preserve">и входящие в его состав: 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1) «Рубежный камень», 1971 г.; 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2) «Деревня </w:t>
            </w:r>
            <w:r>
              <w:rPr>
                <w:rFonts w:ascii="Times New Roman" w:hAnsi="Times New Roman" w:eastAsia="Times New Roman"/>
              </w:rPr>
              <w:t xml:space="preserve">Арбузово</w:t>
            </w:r>
            <w:r>
              <w:rPr>
                <w:rFonts w:ascii="Times New Roman" w:hAnsi="Times New Roman" w:eastAsia="Times New Roman"/>
              </w:rPr>
              <w:t xml:space="preserve">», 1985 г.; 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3) Памятник «Танк Т-34», 1967 г.; 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4) «Обелиск с оградой», 1955 г.; 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5) «Интернациональная аллея Памяти и Славы», </w:t>
            </w:r>
            <w:r>
              <w:rPr>
                <w:rFonts w:ascii="Times New Roman" w:hAnsi="Times New Roman" w:eastAsia="Times New Roman"/>
              </w:rPr>
              <w:br/>
              <w:t xml:space="preserve">с 2005 г.; 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6) «Комплекс братских воинских захоронений», </w:t>
            </w:r>
            <w:r>
              <w:rPr>
                <w:rFonts w:ascii="Times New Roman" w:hAnsi="Times New Roman" w:eastAsia="Times New Roman"/>
              </w:rPr>
              <w:br/>
              <w:t xml:space="preserve">с 1990 г.; 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7) Памятник «Пушка ЗИС-3», 1967 г.;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8) Мемориальный камень «Невский пятачок» — </w:t>
            </w:r>
            <w:r>
              <w:rPr>
                <w:rFonts w:ascii="Times New Roman" w:hAnsi="Times New Roman" w:eastAsia="Times New Roman"/>
              </w:rPr>
              <w:br/>
              <w:t xml:space="preserve">2 шт.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Утраченные (руинированные) объекты: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9) Блиндаж комиссара Щурова («Щуровский блиндаж»);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10) Фундамент разрушенной школы </w:t>
            </w:r>
            <w:r>
              <w:rPr>
                <w:rFonts w:ascii="Times New Roman" w:hAnsi="Times New Roman" w:eastAsia="Times New Roman"/>
              </w:rPr>
              <w:br/>
              <w:t xml:space="preserve">(в годы войны — опорный пункт).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jc w:val="both"/>
              <w:spacing w:before="40" w:after="40"/>
            </w:pPr>
            <w:r/>
            <w:r/>
          </w:p>
        </w:tc>
      </w:tr>
    </w:tbl>
    <w:p>
      <w:r>
        <w:br w:type="page" w:clear="all"/>
      </w:r>
      <w:r/>
    </w:p>
    <w:tbl>
      <w:tblPr>
        <w:tblStyle w:val="877"/>
        <w:tblW w:w="9354" w:type="dxa"/>
        <w:tblLayout w:type="fixed"/>
        <w:tblLook w:val="04A0" w:firstRow="1" w:lastRow="0" w:firstColumn="1" w:lastColumn="0" w:noHBand="0" w:noVBand="1"/>
      </w:tblPr>
      <w:tblGrid>
        <w:gridCol w:w="539"/>
        <w:gridCol w:w="2323"/>
        <w:gridCol w:w="2691"/>
        <w:gridCol w:w="3801"/>
      </w:tblGrid>
      <w:tr>
        <w:tblPrEx/>
        <w:trPr>
          <w:cantSplit/>
        </w:trPr>
        <w:tc>
          <w:tcPr>
            <w:gridSpan w:val="4"/>
            <w:shd w:val="clear" w:color="auto" w:fill="d9d9d9"/>
            <w:tcW w:w="9354" w:type="dxa"/>
            <w:textDirection w:val="lrTb"/>
            <w:noWrap w:val="false"/>
          </w:tcPr>
          <w:p>
            <w:pPr>
              <w:jc w:val="center"/>
              <w:keepNext/>
              <w:spacing w:before="40" w:after="40"/>
            </w:pPr>
            <w:r>
              <w:rPr>
                <w:rFonts w:ascii="Times New Roman" w:hAnsi="Times New Roman" w:eastAsia="Times New Roman"/>
                <w:b/>
              </w:rPr>
              <w:t xml:space="preserve">1. «Рубежный камень»</w:t>
            </w:r>
            <w:r/>
          </w:p>
        </w:tc>
      </w:tr>
      <w:tr>
        <w:tblPrEx/>
        <w:trPr>
          <w:cantSplit/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1.1</w:t>
            </w:r>
            <w:r/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Объемно-пространственное и 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местоположение, габариты, конфигурация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3"/>
            </w:pPr>
            <w:r/>
            <w:r/>
          </w:p>
        </w:tc>
      </w:tr>
      <w:tr>
        <w:tblPrEx/>
        <w:trPr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1.2</w:t>
            </w:r>
            <w:r/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габаритах исторических стен стилобата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</w:rPr>
              <w:t xml:space="preserve">Исторический стилобат (стены, площадки) — местоположение, конфигурация, высотные отметки и габариты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</w:rPr>
              <w:t xml:space="preserve">Исторические каменные ступени стилобата — местоположение, конфигурация, высотные отметки и габариты маршей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</w:rPr>
              <w:t xml:space="preserve">Исторический монумент (в виде двух врезанных друг в друга кубов) — местоположение, конфигурация, высотные отметки и габариты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8421" cy="1924050"/>
                      <wp:effectExtent l="0" t="0" r="1905" b="0"/>
                      <wp:docPr id="4" name="Рисунок 119029608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rcRect l="15181" t="5374" r="22015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71429" cy="19910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42.40pt;height:151.50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План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76"/>
                      <wp:effectExtent l="0" t="0" r="0" b="0"/>
                      <wp:docPr id="5" name="Рисунок 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316341"/>
                      <wp:effectExtent l="0" t="0" r="0" b="0"/>
                      <wp:docPr id="6" name="Рисуно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rcRect l="0" t="0" r="0" b="115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3163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75.75pt;height:103.65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9025"/>
                      <wp:effectExtent l="0" t="0" r="0" b="0"/>
                      <wp:docPr id="7" name="Рисунок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9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75.75pt;height:117.25pt;mso-wrap-distance-left:0.00pt;mso-wrap-distance-top:0.00pt;mso-wrap-distance-right:0.00pt;mso-wrap-distance-bottom:0.00pt;" stroked="f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 ступеней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258269"/>
                      <wp:effectExtent l="0" t="0" r="0" b="0"/>
                      <wp:docPr id="8" name="Рисунок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rcRect l="0" t="0" r="0" b="154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258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175.75pt;height:99.08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 ступеней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2502" cy="2232000"/>
                      <wp:effectExtent l="4763" t="0" r="0" b="0"/>
                      <wp:docPr id="9" name="Рисунок 3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/>
                              <a:srcRect l="0" t="1010" r="22408" b="0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2622502" cy="22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206.50pt;height:175.75pt;mso-wrap-distance-left:0.00pt;mso-wrap-distance-top:0.00pt;mso-wrap-distance-right:0.00pt;mso-wrap-distance-bottom:0.00pt;rotation:90;" stroked="f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 монумента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62526" cy="2232000"/>
                      <wp:effectExtent l="0" t="1270" r="0" b="0"/>
                      <wp:docPr id="10" name="Рисунок 3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rcRect l="0" t="7301" r="23460" b="0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2762526" cy="22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217.52pt;height:175.75pt;mso-wrap-distance-left:0.00pt;mso-wrap-distance-top:0.00pt;mso-wrap-distance-right:0.00pt;mso-wrap-distance-bottom:0.00pt;rotation:90;" stroked="f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 монумента</w:t>
            </w:r>
            <w:r/>
          </w:p>
        </w:tc>
      </w:tr>
      <w:tr>
        <w:tblPrEx/>
        <w:trPr>
          <w:cantSplit/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1.3</w:t>
            </w:r>
            <w:r/>
          </w:p>
        </w:tc>
        <w:tc>
          <w:tcPr>
            <w:tcW w:w="232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Архитектурно-художественное решение памятника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и характер отделки стен стилобата: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гранитные блоки (шероховатая поверхность)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76"/>
                      <wp:effectExtent l="0" t="0" r="0" b="0"/>
                      <wp:docPr id="11" name="Рисунок 3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Фрагмент отделки стен стилобата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75"/>
                      <wp:effectExtent l="0" t="0" r="0" b="0"/>
                      <wp:docPr id="12" name="Рисунок 4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Фрагмент отделки стен стилобата</w:t>
            </w:r>
            <w:r/>
          </w:p>
        </w:tc>
      </w:tr>
      <w:tr>
        <w:tblPrEx/>
        <w:trPr>
          <w:cantSplit/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1.4</w:t>
            </w:r>
            <w:r/>
          </w:p>
        </w:tc>
        <w:tc>
          <w:tcPr>
            <w:tcW w:w="2323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Ступени маршей стилобата – гранитные блоки (шероховатая поверхность)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74"/>
                      <wp:effectExtent l="0" t="0" r="0" b="0"/>
                      <wp:docPr id="13" name="Рисунок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Фрагмент гранитных ступеней 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76"/>
                      <wp:effectExtent l="0" t="0" r="0" b="0"/>
                      <wp:docPr id="14" name="Рисунок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Фрагмент гранитных ступеней </w:t>
            </w:r>
            <w:r/>
          </w:p>
        </w:tc>
      </w:tr>
      <w:tr>
        <w:tblPrEx/>
        <w:trPr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1.5</w:t>
            </w:r>
            <w:r/>
          </w:p>
        </w:tc>
        <w:tc>
          <w:tcPr>
            <w:tcW w:w="2323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и характер отделки монумента и его основания: розовые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гранитные блоки (шероховатая поверхность)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9902" cy="2230939"/>
                      <wp:effectExtent l="0" t="8573" r="6668" b="6665"/>
                      <wp:docPr id="15" name="Рисунок 8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5"/>
                              <a:srcRect l="20929" t="13442" r="19799" b="0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2290991" cy="22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180.31pt;height:175.66pt;mso-wrap-distance-left:0.00pt;mso-wrap-distance-top:0.00pt;mso-wrap-distance-right:0.00pt;mso-wrap-distance-bottom:0.00pt;rotation:90;" stroked="f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Вид на гранитную облицовку монумента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9027"/>
                      <wp:effectExtent l="0" t="0" r="0" b="0"/>
                      <wp:docPr id="16" name="Рисунок 9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90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175.75pt;height:117.25pt;mso-wrap-distance-left:0.00pt;mso-wrap-distance-top:0.00pt;mso-wrap-distance-right:0.00pt;mso-wrap-distance-bottom:0.00pt;" stroked="f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Вид на гранитную облицовку монумента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1117" cy="1449238"/>
                      <wp:effectExtent l="0" t="0" r="0" b="0"/>
                      <wp:docPr id="17" name="Рисунок 9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4060" cy="1451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175.68pt;height:114.11pt;mso-wrap-distance-left:0.00pt;mso-wrap-distance-top:0.00pt;mso-wrap-distance-right:0.00pt;mso-wrap-distance-bottom:0.00pt;" stroked="f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Вид на гранитную облицовку основания монумента</w:t>
            </w:r>
            <w:r/>
          </w:p>
        </w:tc>
      </w:tr>
      <w:tr>
        <w:tblPrEx/>
        <w:trPr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1.6</w:t>
            </w:r>
            <w:r/>
          </w:p>
        </w:tc>
        <w:tc>
          <w:tcPr>
            <w:tcW w:w="2323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tabs>
                <w:tab w:val="num" w:pos="720" w:leader="none"/>
              </w:tabs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Материал и характер отделки монумента — чугунный барельеф </w:t>
            </w:r>
            <w:r>
              <w:rPr>
                <w:rFonts w:ascii="Times New Roman" w:hAnsi="Times New Roman" w:eastAsia="Times New Roman"/>
              </w:rPr>
              <w:br/>
              <w:t xml:space="preserve">на двух гранях куба.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tabs>
                <w:tab w:val="num" w:pos="720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барельефах изображены советские воины периода Великой Отечественной войны.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tabs>
                <w:tab w:val="num" w:pos="720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Барельеф № 1 передаёт движение. Слева </w:t>
            </w:r>
            <w:r>
              <w:rPr>
                <w:rFonts w:ascii="Times New Roman" w:hAnsi="Times New Roman" w:eastAsia="Times New Roman"/>
              </w:rPr>
              <w:t xml:space="preserve">—</w:t>
            </w:r>
            <w:r>
              <w:rPr>
                <w:rFonts w:ascii="Times New Roman" w:hAnsi="Times New Roman" w:cs="Times New Roman"/>
              </w:rPr>
              <w:t xml:space="preserve"> боец в пилотке с патронташем и гранатой в руке, </w:t>
            </w:r>
            <w:r>
              <w:rPr>
                <w:rFonts w:ascii="Times New Roman" w:hAnsi="Times New Roman" w:cs="Times New Roman"/>
              </w:rPr>
              <w:br/>
              <w:t xml:space="preserve">в центре </w:t>
            </w:r>
            <w:r>
              <w:rPr>
                <w:rFonts w:ascii="Times New Roman" w:hAnsi="Times New Roman" w:eastAsia="Times New Roman"/>
              </w:rPr>
              <w:t xml:space="preserve">— </w:t>
            </w:r>
            <w:r>
              <w:rPr>
                <w:rFonts w:ascii="Times New Roman" w:hAnsi="Times New Roman" w:cs="Times New Roman"/>
              </w:rPr>
              <w:t xml:space="preserve">солдат в каске с оружием, призывающий в бой, справа </w:t>
            </w:r>
            <w:r>
              <w:rPr>
                <w:rFonts w:ascii="Times New Roman" w:hAnsi="Times New Roman" w:eastAsia="Times New Roman"/>
              </w:rPr>
              <w:t xml:space="preserve">— </w:t>
            </w:r>
            <w:r>
              <w:rPr>
                <w:rFonts w:ascii="Times New Roman" w:hAnsi="Times New Roman" w:cs="Times New Roman"/>
              </w:rPr>
              <w:t xml:space="preserve">воин </w:t>
            </w:r>
            <w:r>
              <w:rPr>
                <w:rFonts w:ascii="Times New Roman" w:hAnsi="Times New Roman" w:cs="Times New Roman"/>
              </w:rPr>
              <w:br/>
              <w:t xml:space="preserve">с винтовкой. Композицию дополняют стилизованные элементы военного снаряжения.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tabs>
                <w:tab w:val="num" w:pos="720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Барельеф № 2 изображает три статичные фигуры, плотно сгруппированные в едином блоке </w:t>
            </w:r>
            <w:r>
              <w:rPr>
                <w:rFonts w:ascii="Times New Roman" w:hAnsi="Times New Roman" w:cs="Times New Roman"/>
              </w:rPr>
              <w:br/>
              <w:t xml:space="preserve">и обращённые вперёд. Слева </w:t>
            </w:r>
            <w:r>
              <w:rPr>
                <w:rFonts w:ascii="Times New Roman" w:hAnsi="Times New Roman" w:eastAsia="Times New Roman"/>
              </w:rPr>
              <w:t xml:space="preserve">— </w:t>
            </w:r>
            <w:r>
              <w:rPr>
                <w:rFonts w:ascii="Times New Roman" w:hAnsi="Times New Roman" w:cs="Times New Roman"/>
              </w:rPr>
              <w:t xml:space="preserve">молодой солдат в каске со звездой, </w:t>
            </w:r>
            <w:r>
              <w:rPr>
                <w:rFonts w:ascii="Times New Roman" w:hAnsi="Times New Roman" w:cs="Times New Roman"/>
              </w:rPr>
              <w:br/>
              <w:t xml:space="preserve">с винтовкой и патронташем, в центре </w:t>
            </w:r>
            <w:r>
              <w:rPr>
                <w:rFonts w:ascii="Times New Roman" w:hAnsi="Times New Roman" w:eastAsia="Times New Roman"/>
              </w:rPr>
              <w:t xml:space="preserve">—</w:t>
            </w:r>
            <w:r>
              <w:rPr>
                <w:rFonts w:ascii="Times New Roman" w:hAnsi="Times New Roman" w:cs="Times New Roman"/>
              </w:rPr>
              <w:t xml:space="preserve">женская фигура </w:t>
            </w:r>
            <w:r>
              <w:rPr>
                <w:rFonts w:ascii="Times New Roman" w:hAnsi="Times New Roman" w:cs="Times New Roman"/>
              </w:rPr>
              <w:br/>
              <w:t xml:space="preserve">в пилотке, справа </w:t>
            </w:r>
            <w:r>
              <w:rPr>
                <w:rFonts w:ascii="Times New Roman" w:hAnsi="Times New Roman" w:eastAsia="Times New Roman"/>
              </w:rPr>
              <w:t xml:space="preserve">—</w:t>
            </w:r>
            <w:r>
              <w:rPr>
                <w:rFonts w:ascii="Times New Roman" w:hAnsi="Times New Roman" w:cs="Times New Roman"/>
              </w:rPr>
              <w:t xml:space="preserve">пожилой боец в ушанке со звездой, с оружием.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Фон и края рельефа выполнены в виде стилизованных плит </w:t>
            </w:r>
            <w:r>
              <w:rPr>
                <w:rFonts w:ascii="Times New Roman" w:hAnsi="Times New Roman" w:cs="Times New Roman"/>
              </w:rPr>
              <w:br/>
              <w:t xml:space="preserve">с заклёпками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88000" cy="1614415"/>
                      <wp:effectExtent l="0" t="0" r="7620" b="5080"/>
                      <wp:docPr id="18" name="Рисунок 6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8"/>
                              <a:srcRect l="10197" t="8020" r="20277" b="37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88000" cy="161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width:164.41pt;height:127.12pt;mso-wrap-distance-left:0.00pt;mso-wrap-distance-top:0.00pt;mso-wrap-distance-right:0.00pt;mso-wrap-distance-bottom:0.00pt;" stroked="f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  <w:spacing w:after="0"/>
            </w:pPr>
            <w:r>
              <w:t xml:space="preserve">Вид на чугунный барельеф №1 монумента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88000" cy="1525674"/>
                      <wp:effectExtent l="0" t="0" r="7620" b="0"/>
                      <wp:docPr id="19" name="Рисунок 6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9"/>
                              <a:srcRect l="0" t="0" r="11376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88000" cy="15256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width:164.41pt;height:120.13pt;mso-wrap-distance-left:0.00pt;mso-wrap-distance-top:0.00pt;mso-wrap-distance-right:0.00pt;mso-wrap-distance-bottom:0.00pt;" stroked="f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Вид на чугунный барельеф №2 монумента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88000" cy="2146817"/>
                      <wp:effectExtent l="8890" t="0" r="0" b="0"/>
                      <wp:docPr id="20" name="Рисунок 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0"/>
                              <a:srcRect l="3723" t="-270" r="25301" b="1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2088000" cy="21468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width:164.41pt;height:169.04pt;mso-wrap-distance-left:0.00pt;mso-wrap-distance-top:0.00pt;mso-wrap-distance-right:0.00pt;mso-wrap-distance-bottom:0.00pt;rotation:90;" stroked="f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Вид на отделку монумента гладкими чугунными плитами и барельефами</w:t>
            </w:r>
            <w:r/>
          </w:p>
        </w:tc>
      </w:tr>
      <w:tr>
        <w:tblPrEx/>
        <w:trPr>
          <w:cantSplit/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1.7</w:t>
            </w:r>
            <w:r/>
          </w:p>
        </w:tc>
        <w:tc>
          <w:tcPr>
            <w:tcW w:w="2323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Материал и характер отделки монумента — буквы текста из цветного металла: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</w:rPr>
              <w:t xml:space="preserve">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«ВЫ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ЖИВЫЕ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ЗНАЙТЕ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ЧТО С ЭТОЙ ЗЕМЛИ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МЫ УЙТИ НЕ ХОТЕЛИ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И НЕ УШЛИ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МЫ СТОЯЛИ НАСМЕРТЬ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У ТЕМНОЙ НЕВЫ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МЫ ПОГИБЛИ </w:t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  <w:r>
              <w:rPr>
                <w:rFonts w:ascii="Times New Roman" w:hAnsi="Times New Roman" w:eastAsia="Times New Roman"/>
                <w:sz w:val="21"/>
                <w:szCs w:val="21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</w:rPr>
              <w:t xml:space="preserve">ЧТОБ ЖИЛИ ВЫ»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88000" cy="1331577"/>
                      <wp:effectExtent l="0" t="0" r="7620" b="2540"/>
                      <wp:docPr id="21" name="Рисунок 9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88000" cy="13315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width:164.41pt;height:104.85pt;mso-wrap-distance-left:0.00pt;mso-wrap-distance-top:0.00pt;mso-wrap-distance-right:0.00pt;mso-wrap-distance-bottom:0.00pt;" stroked="f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Буквы текста из цветного металла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88000" cy="1260085"/>
                      <wp:effectExtent l="0" t="0" r="7620" b="0"/>
                      <wp:docPr id="22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2"/>
                              <a:srcRect l="0" t="12502" r="10081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88000" cy="12600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width:164.41pt;height:99.22pt;mso-wrap-distance-left:0.00pt;mso-wrap-distance-top:0.00pt;mso-wrap-distance-right:0.00pt;mso-wrap-distance-bottom:0.00pt;" stroked="f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Буквы текста из цветного металла</w:t>
            </w:r>
            <w:r/>
          </w:p>
        </w:tc>
      </w:tr>
      <w:tr>
        <w:tblPrEx/>
        <w:trPr>
          <w:cantSplit/>
        </w:trPr>
        <w:tc>
          <w:tcPr>
            <w:gridSpan w:val="4"/>
            <w:shd w:val="clear" w:color="auto" w:fill="d9d9d9"/>
            <w:tcW w:w="9354" w:type="dxa"/>
            <w:textDirection w:val="lrTb"/>
            <w:noWrap w:val="false"/>
          </w:tcPr>
          <w:p>
            <w:pPr>
              <w:jc w:val="center"/>
              <w:keepNext/>
              <w:spacing w:before="40" w:after="40"/>
            </w:pPr>
            <w:r>
              <w:rPr>
                <w:rFonts w:ascii="Times New Roman" w:hAnsi="Times New Roman" w:eastAsia="Times New Roman"/>
                <w:b/>
              </w:rPr>
              <w:t xml:space="preserve">2. «Деревня </w:t>
            </w:r>
            <w:r>
              <w:rPr>
                <w:rFonts w:ascii="Times New Roman" w:hAnsi="Times New Roman" w:eastAsia="Times New Roman"/>
                <w:b/>
              </w:rPr>
              <w:t xml:space="preserve">Арбузово</w:t>
            </w:r>
            <w:r>
              <w:rPr>
                <w:rFonts w:ascii="Times New Roman" w:hAnsi="Times New Roman" w:eastAsia="Times New Roman"/>
                <w:b/>
              </w:rPr>
              <w:t xml:space="preserve">»</w:t>
            </w:r>
            <w:r/>
          </w:p>
        </w:tc>
      </w:tr>
      <w:tr>
        <w:tblPrEx/>
        <w:trPr>
          <w:cantSplit/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2.1</w:t>
            </w:r>
            <w:r/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Объемно-пространственное и 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местоположение, габариты, конфигурация, высотные отметки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3"/>
            </w:pPr>
            <w:r/>
            <w:r/>
          </w:p>
        </w:tc>
      </w:tr>
      <w:tr>
        <w:tblPrEx/>
        <w:trPr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2.2</w:t>
            </w:r>
            <w:r/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габаритах насыпного холма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</w:rPr>
              <w:t xml:space="preserve">Железобетонная конструкция, имитирующая каркас сгоревшего жилого дома (балки, соединённые </w:t>
            </w:r>
            <w:r>
              <w:rPr>
                <w:rFonts w:ascii="Times New Roman" w:hAnsi="Times New Roman" w:eastAsia="Times New Roman"/>
              </w:rPr>
              <w:br/>
              <w:t xml:space="preserve">в пространственную композицию) – материал, высотные отметки, габариты, конфигурация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96888" cy="1632421"/>
                      <wp:effectExtent l="6350" t="6350" r="6350" b="6350"/>
                      <wp:docPr id="23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2728666" name="Picture 2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3"/>
                              <a:srcRect l="0" t="0" r="20006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96887" cy="16324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width:157.24pt;height:128.54pt;mso-wrap-distance-left:0.00pt;mso-wrap-distance-top:0.00pt;mso-wrap-distance-right:0.00pt;mso-wrap-distance-bottom:0.00pt;" stroked="f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План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0749" cy="1466047"/>
                      <wp:effectExtent l="0" t="0" r="0" b="1270"/>
                      <wp:docPr id="24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4"/>
                              <a:srcRect l="9102" t="3826" r="17590" b="239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668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width:175.65pt;height:115.44pt;mso-wrap-distance-left:0.00pt;mso-wrap-distance-top:0.00pt;mso-wrap-distance-right:0.00pt;mso-wrap-distance-bottom:0.00pt;" stroked="f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1129" cy="1333164"/>
                      <wp:effectExtent l="0" t="0" r="0" b="635"/>
                      <wp:docPr id="25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5"/>
                              <a:srcRect l="0" t="10432" r="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3336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width:175.68pt;height:104.97pt;mso-wrap-distance-left:0.00pt;mso-wrap-distance-top:0.00pt;mso-wrap-distance-right:0.00pt;mso-wrap-distance-bottom:0.00pt;" stroked="f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Общий вид</w:t>
            </w:r>
            <w:r/>
          </w:p>
        </w:tc>
      </w:tr>
      <w:tr>
        <w:tblPrEx/>
        <w:trPr>
          <w:cantSplit/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2.3</w:t>
            </w:r>
            <w:r/>
          </w:p>
        </w:tc>
        <w:tc>
          <w:tcPr>
            <w:tcW w:w="232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Архитектурно-художественное решение памятника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и характер отделки конструкции: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стойки и балки (железобетон)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74"/>
                      <wp:effectExtent l="0" t="0" r="0" b="0"/>
                      <wp:docPr id="26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Фрагмент железобетонной конструкции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74"/>
                      <wp:effectExtent l="0" t="0" r="0" b="0"/>
                      <wp:docPr id="2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Фрагмент железобетонной конструкции</w:t>
            </w:r>
            <w:r/>
          </w:p>
        </w:tc>
      </w:tr>
      <w:tr>
        <w:tblPrEx/>
        <w:trPr>
          <w:cantSplit/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2.4</w:t>
            </w:r>
            <w:r/>
          </w:p>
        </w:tc>
        <w:tc>
          <w:tcPr>
            <w:tcW w:w="2323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Конфигурация насыпного холма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75"/>
                      <wp:effectExtent l="0" t="0" r="0" b="0"/>
                      <wp:docPr id="28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Фрагмент насыпного холма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166400"/>
                      <wp:effectExtent l="0" t="0" r="0" b="0"/>
                      <wp:docPr id="29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9"/>
                              <a:srcRect l="11842" t="41648" r="51039" b="29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16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width:175.75pt;height:91.84pt;mso-wrap-distance-left:0.00pt;mso-wrap-distance-top:0.00pt;mso-wrap-distance-right:0.00pt;mso-wrap-distance-bottom:0.00pt;" stroked="f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Фрагмент насыпного холма</w:t>
            </w:r>
            <w:r/>
          </w:p>
        </w:tc>
      </w:tr>
      <w:tr>
        <w:tblPrEx/>
        <w:trPr>
          <w:cantSplit/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2.5</w:t>
            </w:r>
            <w:r/>
          </w:p>
        </w:tc>
        <w:tc>
          <w:tcPr>
            <w:tcW w:w="2323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и характер отделки: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пять мемориальных досок с перечнем уничтоженных деревень (гранитные плиты, буквы — краска)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675558"/>
                      <wp:effectExtent l="0" t="0" r="0" b="1270"/>
                      <wp:docPr id="30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675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width:175.75pt;height:131.93pt;mso-wrap-distance-left:0.00pt;mso-wrap-distance-top:0.00pt;mso-wrap-distance-right:0.00pt;mso-wrap-distance-bottom:0.00pt;" stroked="f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Вид на гранитные мемориальные доски 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675558"/>
                      <wp:effectExtent l="0" t="0" r="0" b="1270"/>
                      <wp:docPr id="31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675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width:175.75pt;height:131.93pt;mso-wrap-distance-left:0.00pt;mso-wrap-distance-top:0.00pt;mso-wrap-distance-right:0.00pt;mso-wrap-distance-bottom:0.00pt;" stroked="f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Вид на гранитные мемориальные доски</w:t>
            </w:r>
            <w:r/>
          </w:p>
        </w:tc>
      </w:tr>
      <w:tr>
        <w:tblPrEx/>
        <w:trPr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2.6</w:t>
            </w:r>
            <w:r/>
          </w:p>
        </w:tc>
        <w:tc>
          <w:tcPr>
            <w:tcW w:w="2323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и характер отделки: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</w:rPr>
              <w:t xml:space="preserve">стела с памятной надписью «На этом месте была д. </w:t>
            </w:r>
            <w:r>
              <w:rPr>
                <w:rFonts w:ascii="Times New Roman" w:hAnsi="Times New Roman" w:eastAsia="Times New Roman"/>
              </w:rPr>
              <w:t xml:space="preserve">Арбузово</w:t>
            </w:r>
            <w:r>
              <w:rPr>
                <w:rFonts w:ascii="Times New Roman" w:hAnsi="Times New Roman" w:eastAsia="Times New Roman"/>
              </w:rPr>
              <w:t xml:space="preserve">, 58 дворов, уничтожена </w:t>
            </w:r>
            <w:r>
              <w:rPr>
                <w:rFonts w:ascii="Times New Roman" w:hAnsi="Times New Roman" w:eastAsia="Times New Roman"/>
              </w:rPr>
              <w:br/>
              <w:t xml:space="preserve">в боях за Ленинград </w:t>
            </w:r>
            <w:r>
              <w:rPr>
                <w:rFonts w:ascii="Times New Roman" w:hAnsi="Times New Roman" w:eastAsia="Times New Roman"/>
              </w:rPr>
              <w:br/>
              <w:t xml:space="preserve">с фашистскими захватчиками </w:t>
            </w:r>
            <w:r>
              <w:rPr>
                <w:rFonts w:ascii="Times New Roman" w:hAnsi="Times New Roman" w:eastAsia="Times New Roman"/>
              </w:rPr>
              <w:br/>
              <w:t xml:space="preserve">в 1941-1944гг.»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(гранит, шероховатая поверхность с лицевой стороны, поверхность «скала» с задней стороны)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23627" cy="2186117"/>
                      <wp:effectExtent l="0" t="0" r="635" b="5080"/>
                      <wp:docPr id="32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2"/>
                              <a:srcRect l="26685" t="10532" r="18926" b="299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27669" cy="21939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width:88.47pt;height:172.14pt;mso-wrap-distance-left:0.00pt;mso-wrap-distance-top:0.00pt;mso-wrap-distance-right:0.00pt;mso-wrap-distance-bottom:0.00pt;" stroked="f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>
              <w:t xml:space="preserve">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04855" cy="2192769"/>
                      <wp:effectExtent l="0" t="0" r="635" b="0"/>
                      <wp:docPr id="33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3"/>
                              <a:srcRect l="16875" t="-10" r="6903" b="149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11589" cy="22061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width:87.00pt;height:172.66pt;mso-wrap-distance-left:0.00pt;mso-wrap-distance-top:0.00pt;mso-wrap-distance-right:0.00pt;mso-wrap-distance-bottom:0.00pt;" stroked="f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 стелы</w:t>
            </w:r>
            <w:r/>
          </w:p>
        </w:tc>
      </w:tr>
      <w:tr>
        <w:tblPrEx/>
        <w:trPr>
          <w:cantSplit/>
        </w:trPr>
        <w:tc>
          <w:tcPr>
            <w:gridSpan w:val="4"/>
            <w:shd w:val="clear" w:color="auto" w:fill="d9d9d9"/>
            <w:tcW w:w="9354" w:type="dxa"/>
            <w:textDirection w:val="lrTb"/>
            <w:noWrap w:val="false"/>
          </w:tcPr>
          <w:p>
            <w:pPr>
              <w:jc w:val="center"/>
              <w:keepNext/>
              <w:spacing w:before="40" w:after="40"/>
            </w:pPr>
            <w:r>
              <w:rPr>
                <w:rFonts w:ascii="Times New Roman" w:hAnsi="Times New Roman" w:eastAsia="Times New Roman"/>
                <w:b/>
              </w:rPr>
              <w:t xml:space="preserve">3. Памятник «Танк Т-34»</w:t>
            </w:r>
            <w:r/>
          </w:p>
        </w:tc>
      </w:tr>
      <w:tr>
        <w:tblPrEx/>
        <w:trPr>
          <w:cantSplit/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3.1</w:t>
            </w:r>
            <w:r/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Объемно-пространственное и 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местоположение, габариты, конфигурация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322320"/>
                      <wp:effectExtent l="0" t="0" r="0" b="0"/>
                      <wp:docPr id="34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4"/>
                              <a:srcRect l="0" t="8328" r="0" b="77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322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width:175.75pt;height:104.12pt;mso-wrap-distance-left:0.00pt;mso-wrap-distance-top:0.00pt;mso-wrap-distance-right:0.00pt;mso-wrap-distance-bottom:0.00pt;" stroked="f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План</w:t>
            </w:r>
            <w:r/>
          </w:p>
        </w:tc>
      </w:tr>
      <w:tr>
        <w:tblPrEx/>
        <w:trPr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3.2</w:t>
            </w:r>
            <w:r/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габаритах контура постамента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габариты, расположение танка на трапециевидном в плане постаменте с наклонной поверхностью и выемкой, имитирующей траншею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673941"/>
                      <wp:effectExtent l="0" t="0" r="0" b="2540"/>
                      <wp:docPr id="35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6739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width:175.75pt;height:131.81pt;mso-wrap-distance-left:0.00pt;mso-wrap-distance-top:0.00pt;mso-wrap-distance-right:0.00pt;mso-wrap-distance-bottom:0.00pt;" stroked="f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256672"/>
                      <wp:effectExtent l="0" t="0" r="0" b="635"/>
                      <wp:docPr id="36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6"/>
                              <a:srcRect l="0" t="0" r="0" b="156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2566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width:175.75pt;height:98.95pt;mso-wrap-distance-left:0.00pt;mso-wrap-distance-top:0.00pt;mso-wrap-distance-right:0.00pt;mso-wrap-distance-bottom:0.00pt;" stroked="f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357759"/>
                      <wp:effectExtent l="0" t="0" r="0" b="0"/>
                      <wp:docPr id="37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7"/>
                              <a:srcRect l="0" t="8816" r="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35775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width:175.75pt;height:106.91pt;mso-wrap-distance-left:0.00pt;mso-wrap-distance-top:0.00pt;mso-wrap-distance-right:0.00pt;mso-wrap-distance-bottom:0.00pt;" stroked="f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</w:tc>
      </w:tr>
      <w:tr>
        <w:tblPrEx/>
        <w:trPr>
          <w:trHeight w:val="20"/>
        </w:trPr>
        <w:tc>
          <w:tcPr>
            <w:tcW w:w="539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3.3</w:t>
            </w:r>
            <w:r/>
          </w:p>
        </w:tc>
        <w:tc>
          <w:tcPr>
            <w:tcW w:w="23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Архитектурно-художественное решение памятника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Конфигурация исторической модели танка Т-34-85 с номером на башне «101». Материал танка и его элементов. Защитная окраска.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Габариты, общий вид, форма постамента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1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85236" cy="2232000"/>
                      <wp:effectExtent l="7620" t="0" r="8890" b="8890"/>
                      <wp:docPr id="38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8"/>
                              <a:srcRect l="13702" t="0" r="41906" b="0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1485236" cy="22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width:116.95pt;height:175.75pt;mso-wrap-distance-left:0.00pt;mso-wrap-distance-top:0.00pt;mso-wrap-distance-right:0.00pt;mso-wrap-distance-bottom:0.00pt;rotation:90;" stroked="f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57973" cy="2232000"/>
                      <wp:effectExtent l="6033" t="0" r="0" b="0"/>
                      <wp:docPr id="39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9"/>
                              <a:srcRect l="10113" t="0" r="43320" b="0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1557973" cy="22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width:122.68pt;height:175.75pt;mso-wrap-distance-left:0.00pt;mso-wrap-distance-top:0.00pt;mso-wrap-distance-right:0.00pt;mso-wrap-distance-bottom:0.00pt;rotation:90;" stroked="f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  <w:keepNext/>
              <w:spacing w:after="0"/>
            </w:pPr>
            <w:r>
              <w:t xml:space="preserve">Общий вид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72539" cy="2232000"/>
                      <wp:effectExtent l="0" t="8255" r="5715" b="5715"/>
                      <wp:docPr id="40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0"/>
                              <a:srcRect l="4121" t="0" r="15998" b="0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2672539" cy="22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width:210.44pt;height:175.75pt;mso-wrap-distance-left:0.00pt;mso-wrap-distance-top:0.00pt;mso-wrap-distance-right:0.00pt;mso-wrap-distance-bottom:0.00pt;rotation:90;" stroked="f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5593" cy="2232000"/>
                      <wp:effectExtent l="6033" t="0" r="0" b="0"/>
                      <wp:docPr id="41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1"/>
                              <a:srcRect l="20173" t="0" r="13903" b="0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2205593" cy="22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width:173.67pt;height:175.75pt;mso-wrap-distance-left:0.00pt;mso-wrap-distance-top:0.00pt;mso-wrap-distance-right:0.00pt;mso-wrap-distance-bottom:0.00pt;rotation:90;" stroked="f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 </w:t>
            </w:r>
            <w:r/>
          </w:p>
        </w:tc>
      </w:tr>
    </w:tbl>
    <w:p>
      <w:r>
        <w:br w:type="page" w:clear="all"/>
      </w:r>
      <w:r/>
    </w:p>
    <w:tbl>
      <w:tblPr>
        <w:tblStyle w:val="877"/>
        <w:tblW w:w="9496" w:type="dxa"/>
        <w:tblLayout w:type="fixed"/>
        <w:tblLook w:val="04A0" w:firstRow="1" w:lastRow="0" w:firstColumn="1" w:lastColumn="0" w:noHBand="0" w:noVBand="1"/>
      </w:tblPr>
      <w:tblGrid>
        <w:gridCol w:w="704"/>
        <w:gridCol w:w="2324"/>
        <w:gridCol w:w="2693"/>
        <w:gridCol w:w="3775"/>
      </w:tblGrid>
      <w:tr>
        <w:tblPrEx/>
        <w:trPr>
          <w:cantSplit/>
        </w:trPr>
        <w:tc>
          <w:tcPr>
            <w:gridSpan w:val="4"/>
            <w:shd w:val="clear" w:color="auto" w:fill="d9d9d9"/>
            <w:tcW w:w="9496" w:type="dxa"/>
            <w:textDirection w:val="lrTb"/>
            <w:noWrap w:val="false"/>
          </w:tcPr>
          <w:p>
            <w:pPr>
              <w:jc w:val="center"/>
              <w:keepNext/>
              <w:spacing w:before="40" w:after="40"/>
            </w:pPr>
            <w:r>
              <w:rPr>
                <w:rFonts w:ascii="Times New Roman" w:hAnsi="Times New Roman" w:eastAsia="Times New Roman"/>
                <w:b/>
              </w:rPr>
              <w:t xml:space="preserve">4. «Обелиск с оградой»</w:t>
            </w:r>
            <w:r/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4.1</w:t>
            </w:r>
            <w:r/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Объемно-пространственное и 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местоположение, габариты, конфигурация, высотные отметки доминанты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3"/>
            </w:pPr>
            <w:r/>
            <w:r/>
          </w:p>
        </w:tc>
      </w:tr>
      <w:tr>
        <w:tblPrEx/>
        <w:trPr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4.2</w:t>
            </w:r>
            <w:r/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границах металлического ограждения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Гранитный обелиск высотой 10 м, четырехгранный, сужающийся кверху </w:t>
            </w:r>
            <w:r>
              <w:rPr>
                <w:rFonts w:ascii="Times New Roman" w:hAnsi="Times New Roman" w:cs="Times New Roman"/>
              </w:rPr>
              <w:br/>
              <w:t xml:space="preserve">с пирамидальным навершием, </w:t>
            </w:r>
            <w:r>
              <w:rPr>
                <w:rFonts w:ascii="Times New Roman" w:hAnsi="Times New Roman" w:cs="Times New Roman"/>
              </w:rPr>
              <w:br/>
              <w:t xml:space="preserve">на ступенчатом стилобате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2000" cy="2052000"/>
                      <wp:effectExtent l="0" t="0" r="5715" b="5715"/>
                      <wp:docPr id="42" name="Рисунок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2052000" cy="205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width:161.57pt;height:161.57pt;mso-wrap-distance-left:0.00pt;mso-wrap-distance-top:0.00pt;mso-wrap-distance-right:0.00pt;mso-wrap-distance-bottom:0.00pt;rotation:90;" stroked="f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План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516171"/>
                      <wp:effectExtent l="0" t="0" r="0" b="8255"/>
                      <wp:docPr id="4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3"/>
                              <a:srcRect l="7544" t="12845" r="6099" b="89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5161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width:175.75pt;height:119.38pt;mso-wrap-distance-left:0.00pt;mso-wrap-distance-top:0.00pt;mso-wrap-distance-right:0.00pt;mso-wrap-distance-bottom:0.00pt;" stroked="f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  <w:p>
            <w:pPr>
              <w:pStyle w:val="882"/>
              <w:keepNext w:val="0"/>
              <w:spacing w:before="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Общий вид обелиска с оградой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29105" cy="1764000"/>
                      <wp:effectExtent l="1905" t="0" r="6350" b="6350"/>
                      <wp:docPr id="44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4"/>
                              <a:srcRect l="28780" t="0" r="2442" b="0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1729105" cy="176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width:136.15pt;height:138.90pt;mso-wrap-distance-left:0.00pt;mso-wrap-distance-top:0.00pt;mso-wrap-distance-right:0.00pt;mso-wrap-distance-bottom:0.00pt;rotation:90;" stroked="f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Общий вид обелиска на стилобате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63709" cy="1764000"/>
                      <wp:effectExtent l="2222" t="0" r="6033" b="6032"/>
                      <wp:docPr id="45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5"/>
                              <a:srcRect l="7289" t="0" r="0" b="0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2263709" cy="176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width:178.24pt;height:138.90pt;mso-wrap-distance-left:0.00pt;mso-wrap-distance-top:0.00pt;mso-wrap-distance-right:0.00pt;mso-wrap-distance-bottom:0.00pt;rotation:90;" stroked="f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 обелиска</w:t>
            </w:r>
            <w:r/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4.3</w:t>
            </w:r>
            <w:r/>
          </w:p>
        </w:tc>
        <w:tc>
          <w:tcPr>
            <w:tcW w:w="232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Архитектурно-художественное решение памятника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и характер отделки ступеней стилобата: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гранитные блоки (шероховатая поверхность)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9023"/>
                      <wp:effectExtent l="0" t="0" r="0" b="0"/>
                      <wp:docPr id="46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90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width:175.75pt;height:117.25pt;mso-wrap-distance-left:0.00pt;mso-wrap-distance-top:0.00pt;mso-wrap-distance-right:0.00pt;mso-wrap-distance-bottom:0.00pt;" stroked="f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Фрагмент ступеней стилобата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75"/>
                      <wp:effectExtent l="0" t="0" r="0" b="0"/>
                      <wp:docPr id="47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Фрагмент ступеней стилобата</w:t>
            </w:r>
            <w:r/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4.4</w:t>
            </w:r>
            <w:r/>
          </w:p>
        </w:tc>
        <w:tc>
          <w:tcPr>
            <w:tcW w:w="232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Ступени входного марша с бордюром – гранитные блоки (шероховатая поверхность)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9022"/>
                      <wp:effectExtent l="0" t="0" r="0" b="0"/>
                      <wp:docPr id="48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90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width:175.75pt;height:117.25pt;mso-wrap-distance-left:0.00pt;mso-wrap-distance-top:0.00pt;mso-wrap-distance-right:0.00pt;mso-wrap-distance-bottom:0.00pt;" stroked="f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Фрагмент гранитных ступеней </w:t>
            </w:r>
            <w:r/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4.5</w:t>
            </w:r>
            <w:r/>
          </w:p>
        </w:tc>
        <w:tc>
          <w:tcPr>
            <w:tcW w:w="232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Гранитный пояс </w:t>
            </w:r>
            <w:r>
              <w:rPr>
                <w:rFonts w:ascii="Times New Roman" w:hAnsi="Times New Roman" w:cs="Times New Roman"/>
              </w:rPr>
              <w:br/>
              <w:t xml:space="preserve">по периметру холма (шероховатая поверхность)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9024"/>
                      <wp:effectExtent l="0" t="0" r="0" b="0"/>
                      <wp:docPr id="49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90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width:175.75pt;height:117.25pt;mso-wrap-distance-left:0.00pt;mso-wrap-distance-top:0.00pt;mso-wrap-distance-right:0.00pt;mso-wrap-distance-bottom:0.00pt;" stroked="f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2"/>
              <w:keepNext w:val="0"/>
              <w:spacing w:before="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Фрагмент гранитного пояса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9023"/>
                      <wp:effectExtent l="0" t="0" r="0" b="0"/>
                      <wp:docPr id="50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90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width:175.75pt;height:117.25pt;mso-wrap-distance-left:0.00pt;mso-wrap-distance-top:0.00pt;mso-wrap-distance-right:0.00pt;mso-wrap-distance-bottom:0.00pt;" stroked="f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82"/>
              <w:keepNext w:val="0"/>
              <w:spacing w:before="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Фрагмент гранитного пояса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4.6</w:t>
            </w:r>
            <w:r/>
          </w:p>
        </w:tc>
        <w:tc>
          <w:tcPr>
            <w:tcW w:w="232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и характер отделки монумента и его основания: серые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гранитные блоки (шероховатая поверхность)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760418"/>
                      <wp:effectExtent l="0" t="0" r="0" b="0"/>
                      <wp:docPr id="51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1"/>
                              <a:srcRect l="7371" t="0" r="8081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7604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width:175.75pt;height:138.62pt;mso-wrap-distance-left:0.00pt;mso-wrap-distance-top:0.00pt;mso-wrap-distance-right:0.00pt;mso-wrap-distance-bottom:0.00pt;" stroked="f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Вид на гранитную облицовку монумента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74"/>
                      <wp:effectExtent l="0" t="0" r="0" b="0"/>
                      <wp:docPr id="52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Вид на гранитную облицовку основания монумента</w:t>
            </w:r>
            <w:r/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4.7</w:t>
            </w:r>
            <w:r/>
          </w:p>
        </w:tc>
        <w:tc>
          <w:tcPr>
            <w:tcW w:w="232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</w:rPr>
              <w:t xml:space="preserve">Материал и характер отделки монумента — памятная доска и накладные детали в виде венков, пушки, звезды </w:t>
            </w:r>
            <w:r>
              <w:rPr>
                <w:rFonts w:ascii="Times New Roman" w:hAnsi="Times New Roman" w:eastAsia="Times New Roman"/>
              </w:rPr>
              <w:br/>
              <w:t xml:space="preserve">и гирлянд (бронза)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68000" cy="1635255"/>
                      <wp:effectExtent l="4762" t="0" r="8573" b="8572"/>
                      <wp:docPr id="53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3"/>
                              <a:srcRect l="26736" t="17952" r="10878" b="14623"/>
                              <a:stretch/>
                            </pic:blipFill>
                            <pic:spPr bwMode="auto">
                              <a:xfrm rot="16199998">
                                <a:off x="0" y="0"/>
                                <a:ext cx="2293871" cy="16539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width:178.58pt;height:128.76pt;mso-wrap-distance-left:0.00pt;mso-wrap-distance-top:0.00pt;mso-wrap-distance-right:0.00pt;mso-wrap-distance-bottom:0.00pt;rotation:269;" stroked="f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Вид на декор монумента</w:t>
            </w:r>
            <w:r/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4.8</w:t>
            </w:r>
            <w:r/>
          </w:p>
        </w:tc>
        <w:tc>
          <w:tcPr>
            <w:tcW w:w="232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Металлическая ограда </w:t>
            </w:r>
            <w:r>
              <w:rPr>
                <w:rFonts w:ascii="Times New Roman" w:hAnsi="Times New Roman" w:cs="Times New Roman"/>
              </w:rPr>
              <w:br/>
              <w:t xml:space="preserve">с воротами, окрашенная, с историческим рисунком заполнения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827391"/>
                      <wp:effectExtent l="0" t="0" r="0" b="1905"/>
                      <wp:docPr id="54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4"/>
                              <a:srcRect l="6345" t="45462" r="5921" b="-8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8273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width:175.75pt;height:143.89pt;mso-wrap-distance-left:0.00pt;mso-wrap-distance-top:0.00pt;mso-wrap-distance-right:0.00pt;mso-wrap-distance-bottom:0.00pt;" stroked="f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  <w:rPr>
                <w:highlight w:val="none"/>
              </w:rPr>
            </w:pPr>
            <w:r>
              <w:t xml:space="preserve">Металлическая ограда с воротами</w:t>
            </w:r>
            <w:r>
              <w:rPr>
                <w:highlight w:val="none"/>
              </w:rPr>
            </w:r>
          </w:p>
          <w:p>
            <w:pPr>
              <w:pStyle w:val="883"/>
            </w:pPr>
            <w:r/>
            <w:r/>
          </w:p>
          <w:p>
            <w:pPr>
              <w:pStyle w:val="883"/>
            </w:pPr>
            <w:r/>
            <w:r/>
          </w:p>
          <w:p>
            <w:pPr>
              <w:pStyle w:val="883"/>
            </w:pPr>
            <w:r/>
            <w:r/>
          </w:p>
          <w:p>
            <w:pPr>
              <w:pStyle w:val="883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</w:tc>
      </w:tr>
      <w:tr>
        <w:tblPrEx/>
        <w:trPr>
          <w:cantSplit/>
        </w:trPr>
        <w:tc>
          <w:tcPr>
            <w:gridSpan w:val="4"/>
            <w:shd w:val="clear" w:color="auto" w:fill="d9d9d9"/>
            <w:tcW w:w="9496" w:type="dxa"/>
            <w:textDirection w:val="lrTb"/>
            <w:noWrap w:val="false"/>
          </w:tcPr>
          <w:p>
            <w:pPr>
              <w:jc w:val="center"/>
              <w:keepNext/>
              <w:spacing w:before="40" w:after="40"/>
            </w:pPr>
            <w:r>
              <w:rPr>
                <w:rFonts w:ascii="Times New Roman" w:hAnsi="Times New Roman" w:eastAsia="Times New Roman"/>
                <w:b/>
              </w:rPr>
              <w:t xml:space="preserve">5. «Интернациональная аллея Памяти и Славы»</w:t>
            </w:r>
            <w:r/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5.1</w:t>
            </w:r>
            <w:r/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Объемно-пространственное и 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</w:rPr>
              <w:t xml:space="preserve">Местоположение Интернациональной аллеи Памяти и Славы —</w:t>
            </w:r>
            <w:r>
              <w:rPr>
                <w:rFonts w:ascii="Times New Roman" w:hAnsi="Times New Roman" w:cs="Times New Roman"/>
              </w:rPr>
              <w:t xml:space="preserve"> центральная прямолинейная ось </w:t>
            </w:r>
            <w:r>
              <w:rPr>
                <w:rFonts w:ascii="Times New Roman" w:hAnsi="Times New Roman" w:cs="Times New Roman"/>
              </w:rPr>
              <w:br/>
              <w:t xml:space="preserve">от комплекса братских воинских захоронений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к</w:t>
            </w:r>
            <w:r>
              <w:rPr>
                <w:rFonts w:ascii="Times New Roman" w:hAnsi="Times New Roman" w:cs="Times New Roman"/>
              </w:rPr>
              <w:t xml:space="preserve"> берег</w:t>
            </w:r>
            <w:r>
              <w:rPr>
                <w:rFonts w:ascii="Times New Roman" w:hAnsi="Times New Roman" w:cs="Times New Roman"/>
              </w:rPr>
              <w:t xml:space="preserve">у</w:t>
            </w:r>
            <w:r>
              <w:rPr>
                <w:rFonts w:ascii="Times New Roman" w:hAnsi="Times New Roman" w:cs="Times New Roman"/>
              </w:rPr>
              <w:t xml:space="preserve"> реки Невы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Территория, предусмотренная </w:t>
            </w:r>
            <w:r>
              <w:rPr>
                <w:rFonts w:ascii="Times New Roman" w:hAnsi="Times New Roman" w:cs="Times New Roman"/>
              </w:rPr>
              <w:br/>
              <w:t xml:space="preserve">для перспективного развития </w:t>
            </w:r>
            <w:r>
              <w:rPr>
                <w:rFonts w:ascii="Times New Roman" w:hAnsi="Times New Roman" w:eastAsia="Times New Roman"/>
              </w:rPr>
              <w:t xml:space="preserve">Интернациональной аллеи Памяти и Славы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531340"/>
                      <wp:effectExtent l="0" t="0" r="0" b="0"/>
                      <wp:docPr id="55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5"/>
                              <a:srcRect l="9014" t="6201" r="3942" b="116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531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width:175.75pt;height:120.58pt;mso-wrap-distance-left:0.00pt;mso-wrap-distance-top:0.00pt;mso-wrap-distance-right:0.00pt;mso-wrap-distance-bottom:0.00pt;" stroked="f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План</w:t>
            </w:r>
            <w:r/>
          </w:p>
        </w:tc>
      </w:tr>
      <w:tr>
        <w:tblPrEx/>
        <w:trPr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5.2</w:t>
            </w:r>
            <w:r/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cs="Times New Roman"/>
              </w:rPr>
              <w:t xml:space="preserve">В габаритах контура аллеи — каплевидная (лепестковая) в плане пешеходная</w:t>
            </w:r>
            <w:r>
              <w:rPr>
                <w:rFonts w:ascii="Times New Roman" w:hAnsi="Times New Roman" w:cs="Times New Roman"/>
              </w:rPr>
              <w:t xml:space="preserve"> структура, ориентированная вдоль центральной оси: прямолинейная ось; криволинейные дорожки, образующие замкнутый контур аллеи; поперечные соединительные дорожки; симметричная композиция; регулярное двустороннее размещение площадок с мемориальными стелами.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Ограждения подпорной стенки и перехода </w:t>
            </w:r>
            <w:r>
              <w:rPr>
                <w:rFonts w:ascii="Times New Roman" w:hAnsi="Times New Roman" w:eastAsia="Times New Roman"/>
              </w:rPr>
              <w:t xml:space="preserve">— </w:t>
            </w:r>
            <w:r>
              <w:rPr>
                <w:rFonts w:ascii="Times New Roman" w:hAnsi="Times New Roman" w:cs="Times New Roman"/>
              </w:rPr>
              <w:t xml:space="preserve">местоположение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255499"/>
                      <wp:effectExtent l="0" t="0" r="0" b="1905"/>
                      <wp:docPr id="56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2554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width:175.75pt;height:98.86pt;mso-wrap-distance-left:0.00pt;mso-wrap-distance-top:0.00pt;mso-wrap-distance-right:0.00pt;mso-wrap-distance-bottom:0.00pt;" stroked="f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18"/>
                      <wp:effectExtent l="0" t="0" r="0" b="0"/>
                      <wp:docPr id="57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</w:tc>
      </w:tr>
      <w:tr>
        <w:tblPrEx/>
        <w:trPr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5.3</w:t>
            </w:r>
            <w:r/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Архитектурно-художественное решение памятника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Материал и характер отделки аллеи: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периметр дорожек </w:t>
            </w:r>
            <w:r>
              <w:rPr>
                <w:rFonts w:ascii="Times New Roman" w:hAnsi="Times New Roman" w:eastAsia="Times New Roman"/>
              </w:rPr>
              <w:br/>
              <w:t xml:space="preserve">и внешнего контура мемориальных площадок — большой гранитный бортовой камень с фаской (гладкая поверхность гранита)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внутренний контур мемориальных площадок — малый гранитный бортовой камень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(гладкая поверхность гранита)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мощение площадок 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(в контуре бортовых камней) — булыжный камень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Высотные отметки, материал и характер отделки установленных памятных стел: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вертикальный каменный объем —</w:t>
            </w:r>
            <w:r>
              <w:rPr>
                <w:rFonts w:ascii="Times New Roman" w:hAnsi="Times New Roman" w:eastAsia="Times New Roman"/>
              </w:rPr>
              <w:t xml:space="preserve"> </w:t>
            </w:r>
            <w:r>
              <w:rPr>
                <w:rFonts w:ascii="Times New Roman" w:hAnsi="Times New Roman" w:eastAsia="Times New Roman"/>
              </w:rPr>
              <w:t xml:space="preserve">стела с фронтально ориентированной композицией в виде вертикальной плоскости </w:t>
            </w:r>
            <w:r>
              <w:rPr>
                <w:rFonts w:ascii="Times New Roman" w:hAnsi="Times New Roman" w:eastAsia="Times New Roman"/>
              </w:rPr>
              <w:br/>
              <w:t xml:space="preserve">с преимущественно ровной, обработанной поверхностью (</w:t>
            </w:r>
            <w:r>
              <w:rPr>
                <w:rFonts w:ascii="Times New Roman" w:hAnsi="Times New Roman" w:eastAsia="Times New Roman"/>
              </w:rPr>
              <w:t xml:space="preserve">бучардирование</w:t>
            </w:r>
            <w:r>
              <w:rPr>
                <w:rFonts w:ascii="Times New Roman" w:hAnsi="Times New Roman" w:eastAsia="Times New Roman"/>
              </w:rPr>
              <w:t xml:space="preserve">, полировка, лощение, шлифовка, мозаика и пр.), предназначенной </w:t>
            </w:r>
            <w:r>
              <w:rPr>
                <w:rFonts w:ascii="Times New Roman" w:hAnsi="Times New Roman" w:eastAsia="Times New Roman"/>
              </w:rPr>
              <w:br/>
              <w:t xml:space="preserve">для размещения мемориального текста, символических изображений, памятных деталей и пр. (каждая стела представлена </w:t>
            </w:r>
            <w:r>
              <w:rPr>
                <w:rFonts w:ascii="Times New Roman" w:hAnsi="Times New Roman" w:eastAsia="Times New Roman"/>
              </w:rPr>
              <w:br/>
              <w:t xml:space="preserve">в индивидуальном художественном исполнении).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Задняя и боковые поверхности стел — преимущественно в виде колотого камня, стилизованного </w:t>
            </w:r>
            <w:r>
              <w:rPr>
                <w:rFonts w:ascii="Times New Roman" w:hAnsi="Times New Roman" w:eastAsia="Times New Roman"/>
              </w:rPr>
              <w:br/>
              <w:t xml:space="preserve">под естественный скальный массив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000"/>
                      <wp:effectExtent l="0" t="0" r="0" b="0"/>
                      <wp:docPr id="58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Рисунок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width:175.75pt;height:117.17pt;mso-wrap-distance-left:0.00pt;mso-wrap-distance-top:0.00pt;mso-wrap-distance-right:0.00pt;mso-wrap-distance-bottom:0.00pt;" stroked="f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 Общий вид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674417"/>
                      <wp:effectExtent l="0" t="0" r="0" b="2540"/>
                      <wp:docPr id="59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6744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width:175.75pt;height:131.84pt;mso-wrap-distance-left:0.00pt;mso-wrap-distance-top:0.00pt;mso-wrap-distance-right:0.00pt;mso-wrap-distance-bottom:0.00pt;" stroked="f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</w:tc>
      </w:tr>
    </w:tbl>
    <w:p>
      <w:r>
        <w:br w:type="page" w:clear="all"/>
      </w:r>
      <w:r/>
    </w:p>
    <w:tbl>
      <w:tblPr>
        <w:tblStyle w:val="877"/>
        <w:tblW w:w="9496" w:type="dxa"/>
        <w:tblLayout w:type="fixed"/>
        <w:tblLook w:val="04A0" w:firstRow="1" w:lastRow="0" w:firstColumn="1" w:lastColumn="0" w:noHBand="0" w:noVBand="1"/>
      </w:tblPr>
      <w:tblGrid>
        <w:gridCol w:w="704"/>
        <w:gridCol w:w="2324"/>
        <w:gridCol w:w="2693"/>
        <w:gridCol w:w="3775"/>
      </w:tblGrid>
      <w:tr>
        <w:tblPrEx/>
        <w:trPr>
          <w:cantSplit/>
        </w:trPr>
        <w:tc>
          <w:tcPr>
            <w:gridSpan w:val="4"/>
            <w:shd w:val="clear" w:color="auto" w:fill="d9d9d9"/>
            <w:tcW w:w="9496" w:type="dxa"/>
            <w:textDirection w:val="lrTb"/>
            <w:noWrap w:val="false"/>
          </w:tcPr>
          <w:p>
            <w:pPr>
              <w:jc w:val="center"/>
              <w:keepNext/>
              <w:spacing w:before="40" w:after="40"/>
            </w:pPr>
            <w:r>
              <w:rPr>
                <w:rFonts w:ascii="Times New Roman" w:hAnsi="Times New Roman" w:eastAsia="Times New Roman"/>
                <w:b/>
              </w:rPr>
              <w:t xml:space="preserve">6. «Комплекс братских воинских захоронений»</w:t>
            </w:r>
            <w:r/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6.1</w:t>
            </w:r>
            <w:r/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Объемно-пространственное и 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местоположение, габариты, конфигурация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2036342"/>
                      <wp:effectExtent l="0" t="0" r="0" b="2540"/>
                      <wp:docPr id="60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45740889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203634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width:175.75pt;height:160.34pt;mso-wrap-distance-left:0.00pt;mso-wrap-distance-top:0.00pt;mso-wrap-distance-right:0.00pt;mso-wrap-distance-bottom:0.0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План</w:t>
            </w:r>
            <w:r/>
          </w:p>
        </w:tc>
      </w:tr>
      <w:tr>
        <w:tblPrEx/>
        <w:trPr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6.2</w:t>
            </w:r>
            <w:r/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highlight w:val="cyan"/>
              </w:rPr>
            </w:pPr>
            <w:r>
              <w:rPr>
                <w:rFonts w:ascii="Times New Roman" w:hAnsi="Times New Roman" w:eastAsia="Times New Roman"/>
              </w:rPr>
              <w:t xml:space="preserve">Местоположение, конфигурация захоронений (прямоугольные в плане)</w:t>
            </w:r>
            <w:r>
              <w:rPr>
                <w:rFonts w:ascii="Times New Roman" w:hAnsi="Times New Roman" w:eastAsia="Times New Roman"/>
                <w:highlight w:val="cyan"/>
              </w:rPr>
            </w:r>
            <w:r>
              <w:rPr>
                <w:rFonts w:ascii="Times New Roman" w:hAnsi="Times New Roman" w:eastAsia="Times New Roman"/>
                <w:highlight w:val="cyan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  <w:highlight w:val="cyan"/>
              </w:rPr>
            </w:r>
            <w:r>
              <w:rPr>
                <w:rFonts w:ascii="Times New Roman" w:hAnsi="Times New Roman" w:cs="Times New Roman"/>
                <w:highlight w:val="cyan"/>
              </w:rPr>
            </w:r>
            <w:r>
              <w:rPr>
                <w:rFonts w:ascii="Times New Roman" w:hAnsi="Times New Roman" w:cs="Times New Roman"/>
                <w:highlight w:val="cy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15730" cy="2232000"/>
                      <wp:effectExtent l="0" t="635" r="0" b="0"/>
                      <wp:docPr id="61" name="Рисуно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71"/>
                              <a:srcRect l="30105" t="0" r="25655" b="0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1315730" cy="223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width:103.60pt;height:175.75pt;mso-wrap-distance-left:0.00pt;mso-wrap-distance-top:0.00pt;mso-wrap-distance-right:0.00pt;mso-wrap-distance-bottom:0.00pt;rotation:90;" stroked="f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rPr>
                <w:rFonts w:eastAsia="Times New Roman"/>
              </w:rPr>
              <w:t xml:space="preserve">Общий вид захоронений</w:t>
            </w:r>
            <w:r/>
          </w:p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18"/>
                      <wp:effectExtent l="0" t="0" r="0" b="0"/>
                      <wp:docPr id="62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rPr>
                <w:rFonts w:eastAsia="Times New Roman"/>
              </w:rPr>
              <w:t xml:space="preserve">Общий вид захоронения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17"/>
                      <wp:effectExtent l="0" t="0" r="0" b="0"/>
                      <wp:docPr id="63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rPr>
                <w:rFonts w:eastAsia="Times New Roman"/>
              </w:rPr>
              <w:t xml:space="preserve">Общий вид захоронения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88317"/>
                      <wp:effectExtent l="0" t="0" r="0" b="0"/>
                      <wp:docPr id="64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883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width:175.75pt;height:117.19pt;mso-wrap-distance-left:0.00pt;mso-wrap-distance-top:0.00pt;mso-wrap-distance-right:0.00pt;mso-wrap-distance-bottom:0.00pt;" stroked="f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rPr>
                <w:rFonts w:eastAsia="Times New Roman"/>
              </w:rPr>
              <w:t xml:space="preserve">Общий вид захоронения</w:t>
            </w:r>
            <w:r/>
          </w:p>
        </w:tc>
      </w:tr>
      <w:tr>
        <w:tblPrEx/>
        <w:trPr>
          <w:cantSplit/>
          <w:trHeight w:val="2670"/>
        </w:trPr>
        <w:tc>
          <w:tcPr>
            <w:tcBorders>
              <w:bottom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6.3</w:t>
            </w:r>
            <w:r/>
          </w:p>
        </w:tc>
        <w:tc>
          <w:tcPr>
            <w:tcW w:w="232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Архитектурно-художественное решение памятника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Материал исполнения обрамления захоронений (гранит)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605548"/>
                      <wp:effectExtent l="0" t="0" r="0" b="0"/>
                      <wp:docPr id="65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75"/>
                              <a:srcRect l="15962" t="5317" r="0" b="14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6055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width:175.75pt;height:126.42pt;mso-wrap-distance-left:0.00pt;mso-wrap-distance-top:0.00pt;mso-wrap-distance-right:0.00pt;mso-wrap-distance-bottom:0.00pt;" stroked="f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rPr>
                <w:rFonts w:eastAsia="Times New Roman"/>
              </w:rPr>
              <w:t xml:space="preserve">Общий вид обрамления захоронения</w:t>
            </w:r>
            <w:r/>
          </w:p>
        </w:tc>
      </w:tr>
      <w:tr>
        <w:tblPrEx/>
        <w:trPr>
          <w:cantSplit/>
          <w:trHeight w:val="8111"/>
        </w:trPr>
        <w:tc>
          <w:tcPr>
            <w:tcBorders>
              <w:top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6.4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232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Материал и габариты мемориальных досок — гранитные плиты </w:t>
            </w:r>
            <w:r>
              <w:rPr>
                <w:rFonts w:ascii="Times New Roman" w:hAnsi="Times New Roman" w:eastAsia="Times New Roman"/>
              </w:rPr>
              <w:br/>
              <w:t xml:space="preserve">в едином типоразмере </w:t>
            </w:r>
            <w:r>
              <w:rPr>
                <w:rFonts w:ascii="Times New Roman" w:hAnsi="Times New Roman" w:eastAsia="Times New Roman"/>
              </w:rPr>
              <w:br/>
              <w:t xml:space="preserve">с текстами и символами, нанесёнными в виде окрасочного покрытия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Borders>
              <w:top w:val="single" w:color="auto" w:sz="4" w:space="0"/>
            </w:tcBorders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98364" cy="1619612"/>
                      <wp:effectExtent l="3492" t="15557" r="15557" b="15558"/>
                      <wp:docPr id="66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76"/>
                              <a:srcRect l="10268" t="12248" r="24251" b="15438"/>
                              <a:stretch/>
                            </pic:blipFill>
                            <pic:spPr bwMode="auto">
                              <a:xfrm rot="16199998">
                                <a:off x="0" y="0"/>
                                <a:ext cx="2198890" cy="162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width:173.10pt;height:127.53pt;mso-wrap-distance-left:0.00pt;mso-wrap-distance-top:0.00pt;mso-wrap-distance-right:0.00pt;mso-wrap-distance-bottom:0.00pt;rotation:269;" stroked="f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Общий вид мемориальной доски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60000" cy="1619384"/>
                      <wp:effectExtent l="3492" t="15557" r="15557" b="15558"/>
                      <wp:docPr id="67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92419678" name="Picture 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77"/>
                              <a:srcRect l="11886" t="16788" r="29920" b="17816"/>
                              <a:stretch/>
                            </pic:blipFill>
                            <pic:spPr bwMode="auto">
                              <a:xfrm rot="16199969">
                                <a:off x="0" y="0"/>
                                <a:ext cx="2160000" cy="16193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width:170.08pt;height:127.51pt;mso-wrap-distance-left:0.00pt;mso-wrap-distance-top:0.00pt;mso-wrap-distance-right:0.00pt;mso-wrap-distance-bottom:0.00pt;rotation:269;" stroked="f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 мемориальной доски</w:t>
            </w:r>
            <w:r/>
          </w:p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8672" cy="1620000"/>
                      <wp:effectExtent l="4445" t="14604" r="13970" b="13970"/>
                      <wp:docPr id="68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78"/>
                              <a:srcRect l="19894" t="18679" r="25995" b="22609"/>
                              <a:stretch/>
                            </pic:blipFill>
                            <pic:spPr bwMode="auto">
                              <a:xfrm rot="16199998">
                                <a:off x="0" y="0"/>
                                <a:ext cx="2238672" cy="162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width:176.27pt;height:127.56pt;mso-wrap-distance-left:0.00pt;mso-wrap-distance-top:0.00pt;mso-wrap-distance-right:0.00pt;mso-wrap-distance-bottom:0.00pt;rotation:269;" stroked="f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 мемориальной доски</w:t>
            </w:r>
            <w:r/>
          </w:p>
        </w:tc>
      </w:tr>
    </w:tbl>
    <w:p>
      <w:r>
        <w:br w:type="page" w:clear="all"/>
      </w:r>
      <w:r/>
    </w:p>
    <w:tbl>
      <w:tblPr>
        <w:tblStyle w:val="877"/>
        <w:tblW w:w="9496" w:type="dxa"/>
        <w:tblLayout w:type="fixed"/>
        <w:tblLook w:val="04A0" w:firstRow="1" w:lastRow="0" w:firstColumn="1" w:lastColumn="0" w:noHBand="0" w:noVBand="1"/>
      </w:tblPr>
      <w:tblGrid>
        <w:gridCol w:w="704"/>
        <w:gridCol w:w="2324"/>
        <w:gridCol w:w="2693"/>
        <w:gridCol w:w="3775"/>
      </w:tblGrid>
      <w:tr>
        <w:tblPrEx/>
        <w:trPr>
          <w:cantSplit/>
        </w:trPr>
        <w:tc>
          <w:tcPr>
            <w:gridSpan w:val="4"/>
            <w:shd w:val="clear" w:color="auto" w:fill="d9d9d9"/>
            <w:tcW w:w="9496" w:type="dxa"/>
            <w:textDirection w:val="lrTb"/>
            <w:noWrap w:val="false"/>
          </w:tcPr>
          <w:p>
            <w:pPr>
              <w:jc w:val="center"/>
              <w:keepNext/>
              <w:spacing w:before="40" w:after="40"/>
            </w:pPr>
            <w:r>
              <w:rPr>
                <w:rFonts w:ascii="Times New Roman" w:hAnsi="Times New Roman" w:eastAsia="Times New Roman"/>
                <w:b/>
              </w:rPr>
              <w:t xml:space="preserve">7. Памятник «Пушка ЗИС-3»</w:t>
            </w:r>
            <w:r/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7.1</w:t>
            </w:r>
            <w:r/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Объемно-пространственное и 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местоположение, габариты, конфигурация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172308"/>
                      <wp:effectExtent l="0" t="0" r="0" b="8890"/>
                      <wp:docPr id="69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79"/>
                              <a:srcRect l="0" t="15452" r="0" b="10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1723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width:175.75pt;height:92.31pt;mso-wrap-distance-left:0.00pt;mso-wrap-distance-top:0.00pt;mso-wrap-distance-right:0.00pt;mso-wrap-distance-bottom:0.00pt;" stroked="f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План</w:t>
            </w:r>
            <w:r/>
          </w:p>
        </w:tc>
      </w:tr>
      <w:tr>
        <w:tblPrEx/>
        <w:trPr>
          <w:cantSplit/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7.2</w:t>
            </w:r>
            <w:r/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габариты.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Расположение пушки </w:t>
            </w:r>
            <w:r>
              <w:rPr>
                <w:rFonts w:ascii="Times New Roman" w:hAnsi="Times New Roman" w:cs="Times New Roman"/>
              </w:rPr>
              <w:br/>
              <w:t xml:space="preserve">на прямоугольном постаменте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  <w:rPr>
                <w:rFonts w:ascii="Times New Roman" w:hAnsi="Times New Roman" w:cs="Times New Roman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369873"/>
                      <wp:effectExtent l="0" t="0" r="0" b="1905"/>
                      <wp:docPr id="70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0"/>
                              <a:srcRect l="0" t="7985" r="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3698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width:175.75pt;height:107.86pt;mso-wrap-distance-left:0.00pt;mso-wrap-distance-top:0.00pt;mso-wrap-distance-right:0.00pt;mso-wrap-distance-bottom:0.00pt;" stroked="f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3"/>
            </w:pPr>
            <w:r>
              <w:t xml:space="preserve">Общий вид</w:t>
            </w:r>
            <w:r/>
          </w:p>
        </w:tc>
      </w:tr>
      <w:tr>
        <w:tblPrEx/>
        <w:trPr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</w:pPr>
            <w:r>
              <w:rPr>
                <w:rFonts w:ascii="Times New Roman" w:hAnsi="Times New Roman" w:eastAsia="Times New Roman"/>
              </w:rPr>
              <w:t xml:space="preserve">7.3</w:t>
            </w:r>
            <w:r/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Архитектурно-художественное решение памятника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Конфигурация исторической модели пушки ЗИС-3. Материал пушки и её элементов. Защитная окраска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972604"/>
                      <wp:effectExtent l="0" t="0" r="0" b="0"/>
                      <wp:docPr id="71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Рисунок 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1"/>
                              <a:srcRect l="5461" t="24561" r="19349" b="263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9726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width:175.75pt;height:76.58pt;mso-wrap-distance-left:0.00pt;mso-wrap-distance-top:0.00pt;mso-wrap-distance-right:0.00pt;mso-wrap-distance-bottom:0.00pt;" stroked="f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240001"/>
                      <wp:effectExtent l="0" t="0" r="0" b="0"/>
                      <wp:docPr id="72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Рисунок 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2"/>
                              <a:srcRect l="11762" t="25820" r="16408" b="143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2400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width:175.75pt;height:97.64pt;mso-wrap-distance-left:0.00pt;mso-wrap-distance-top:0.00pt;mso-wrap-distance-right:0.00pt;mso-wrap-distance-bottom:0.00pt;" stroked="f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417976"/>
                      <wp:effectExtent l="0" t="0" r="0" b="0"/>
                      <wp:docPr id="73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Рисунок 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3"/>
                              <a:srcRect l="8401" t="14484" r="20188" b="175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4179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width:175.75pt;height:111.65pt;mso-wrap-distance-left:0.00pt;mso-wrap-distance-top:0.00pt;mso-wrap-distance-right:0.00pt;mso-wrap-distance-bottom:0.00pt;" stroked="f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</w:tc>
      </w:tr>
      <w:tr>
        <w:tblPrEx/>
        <w:trPr>
          <w:trHeight w:val="20"/>
        </w:trPr>
        <w:tc>
          <w:tcPr>
            <w:gridSpan w:val="4"/>
            <w:shd w:val="clear" w:color="auto" w:fill="d9d9d9" w:themeFill="background1" w:themeFillShade="D9"/>
            <w:tcW w:w="9496" w:type="dxa"/>
            <w:textDirection w:val="lrTb"/>
            <w:noWrap w:val="false"/>
          </w:tcPr>
          <w:p>
            <w:pPr>
              <w:jc w:val="center"/>
              <w:keepNext/>
              <w:spacing w:before="40" w:after="40"/>
            </w:pPr>
            <w:r>
              <w:rPr>
                <w:rFonts w:ascii="Times New Roman" w:hAnsi="Times New Roman" w:eastAsia="Times New Roman"/>
                <w:b/>
              </w:rPr>
              <w:t xml:space="preserve">8. Мемориальный камень «Невский пятачок» — 2 шт.</w:t>
            </w:r>
            <w:r/>
          </w:p>
        </w:tc>
      </w:tr>
      <w:tr>
        <w:tblPrEx/>
        <w:trPr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8.1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Объемно-пространственное и 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местоположение, габариты, конфигурация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vAlign w:val="center"/>
            <w:textDirection w:val="lrTb"/>
            <w:noWrap w:val="false"/>
          </w:tcPr>
          <w:p>
            <w:pPr>
              <w:pStyle w:val="883"/>
              <w:keepNext/>
              <w:spacing w:before="120"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3218597"/>
                      <wp:effectExtent l="0" t="0" r="0" b="1270"/>
                      <wp:docPr id="74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32185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width:175.75pt;height:253.43pt;mso-wrap-distance-left:0.00pt;mso-wrap-distance-top:0.00pt;mso-wrap-distance-right:0.00pt;mso-wrap-distance-bottom:0.00pt;" stroked="f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Ситуационный план</w:t>
            </w:r>
            <w:r/>
          </w:p>
        </w:tc>
      </w:tr>
      <w:tr>
        <w:tblPrEx/>
        <w:trPr>
          <w:trHeight w:val="5377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8.2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Архитектурно-художественное решение памятника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Две однотипные гранитные стелы </w:t>
            </w:r>
            <w:r>
              <w:rPr>
                <w:rFonts w:ascii="Times New Roman" w:hAnsi="Times New Roman" w:cs="Times New Roman"/>
              </w:rPr>
              <w:br/>
              <w:t xml:space="preserve">на основании с памятной надписью «Невский пятачок» (гранит серого цвета, грубо обработанная лицевая поверхность, углубленный рельеф букв)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80000" cy="2536506"/>
                      <wp:effectExtent l="0" t="0" r="1270" b="0"/>
                      <wp:docPr id="75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4" name="Рисунок 81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5"/>
                              <a:srcRect l="36368" t="20180" r="22442" b="95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80000" cy="25365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width:155.91pt;height:199.72pt;mso-wrap-distance-left:0.00pt;mso-wrap-distance-top:0.00pt;mso-wrap-distance-right:0.00pt;mso-wrap-distance-bottom:0.00pt;" stroked="f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>
              <w:t xml:space="preserve"> </w:t>
            </w:r>
            <w:r/>
          </w:p>
          <w:p>
            <w:pPr>
              <w:pStyle w:val="883"/>
              <w:spacing w:after="0"/>
            </w:pPr>
            <w:r>
              <w:t xml:space="preserve">Стела 1 (ближе к г. Кировску). </w:t>
            </w:r>
            <w:r/>
          </w:p>
          <w:p>
            <w:pPr>
              <w:pStyle w:val="883"/>
            </w:pPr>
            <w:r>
              <w:t xml:space="preserve">Общий вид</w:t>
            </w:r>
            <w:r/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81961" cy="1980000"/>
                      <wp:effectExtent l="0" t="3810" r="5080" b="5080"/>
                      <wp:docPr id="76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Рисунок 1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6"/>
                              <a:srcRect l="28247" t="11693" r="10450" b="25622"/>
                              <a:stretch/>
                            </pic:blipFill>
                            <pic:spPr bwMode="auto">
                              <a:xfrm rot="5400000">
                                <a:off x="0" y="0"/>
                                <a:ext cx="2581961" cy="198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width:203.30pt;height:155.91pt;mso-wrap-distance-left:0.00pt;mso-wrap-distance-top:0.00pt;mso-wrap-distance-right:0.00pt;mso-wrap-distance-bottom:0.00pt;rotation:90;" stroked="f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  <w:keepNext/>
              <w:spacing w:after="0"/>
            </w:pPr>
            <w:r>
              <w:t xml:space="preserve">Стела 2 (дальше от г. Кировска). </w:t>
            </w:r>
            <w:r/>
          </w:p>
          <w:p>
            <w:pPr>
              <w:pStyle w:val="883"/>
              <w:keepNext/>
              <w:spacing w:after="0"/>
            </w:pPr>
            <w:r>
              <w:t xml:space="preserve">Общий вид</w:t>
            </w:r>
            <w:r/>
          </w:p>
        </w:tc>
      </w:tr>
      <w:tr>
        <w:tblPrEx/>
        <w:trPr>
          <w:trHeight w:val="287"/>
        </w:trPr>
        <w:tc>
          <w:tcPr>
            <w:gridSpan w:val="4"/>
            <w:shd w:val="clear" w:color="auto" w:fill="d9d9d9" w:themeFill="background1" w:themeFillShade="D9"/>
            <w:tcW w:w="9496" w:type="dxa"/>
            <w:textDirection w:val="lrTb"/>
            <w:noWrap w:val="false"/>
          </w:tcPr>
          <w:p>
            <w:pPr>
              <w:jc w:val="center"/>
              <w:keepNext/>
              <w:spacing w:before="40" w:after="40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 xml:space="preserve">9. Блиндаж комиссара Щурова («Щуровский блиндаж») – утрачен</w:t>
            </w:r>
            <w:r>
              <w:rPr>
                <w:rFonts w:ascii="Times New Roman" w:hAnsi="Times New Roman" w:eastAsia="Times New Roman"/>
                <w:b/>
              </w:rPr>
            </w:r>
            <w:r>
              <w:rPr>
                <w:rFonts w:ascii="Times New Roman" w:hAnsi="Times New Roman" w:eastAsia="Times New Roman"/>
                <w:b/>
              </w:rPr>
            </w:r>
          </w:p>
        </w:tc>
      </w:tr>
      <w:tr>
        <w:tblPrEx/>
        <w:trPr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9.1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Объемно-пространственное и 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местоположение, конфигурация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489996</wp:posOffset>
                      </wp:positionH>
                      <wp:positionV relativeFrom="paragraph">
                        <wp:posOffset>151427</wp:posOffset>
                      </wp:positionV>
                      <wp:extent cx="266641" cy="295664"/>
                      <wp:effectExtent l="0" t="0" r="76835" b="47625"/>
                      <wp:wrapNone/>
                      <wp:docPr id="77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66641" cy="29566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" o:spid="_x0000_s76" o:spt="32" type="#_x0000_t32" style="position:absolute;z-index:251670528;o:allowoverlap:true;o:allowincell:true;mso-position-horizontal-relative:text;margin-left:38.58pt;mso-position-horizontal:absolute;mso-position-vertical-relative:text;margin-top:11.92pt;mso-position-vertical:absolute;width:21.00pt;height:23.28pt;mso-wrap-distance-left:9.00pt;mso-wrap-distance-top:0.00pt;mso-wrap-distance-right:9.00pt;mso-wrap-distance-bottom:0.00pt;visibility:visible;" filled="f" strokecolor="#ED7D31" strokeweight="0.50pt">
                      <v:stroke dashstyle="solid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706362</wp:posOffset>
                      </wp:positionH>
                      <wp:positionV relativeFrom="paragraph">
                        <wp:posOffset>372782</wp:posOffset>
                      </wp:positionV>
                      <wp:extent cx="454557" cy="456537"/>
                      <wp:effectExtent l="19050" t="19050" r="22225" b="20320"/>
                      <wp:wrapNone/>
                      <wp:docPr id="78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454557" cy="456537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" o:spid="_x0000_s77" o:spt="3" type="#_x0000_t3" style="position:absolute;z-index:251668480;o:allowoverlap:true;o:allowincell:true;mso-position-horizontal-relative:text;margin-left:55.62pt;mso-position-horizontal:absolute;mso-position-vertical-relative:text;margin-top:29.35pt;mso-position-vertical:absolute;width:35.79pt;height:35.95pt;mso-wrap-distance-left:9.00pt;mso-wrap-distance-top:0.00pt;mso-wrap-distance-right:9.00pt;mso-wrap-distance-bottom:0.00pt;visibility:visible;" filled="f" strokecolor="#ED7D31" strokeweight="2.25pt">
                      <v:stroke dashstyle="solid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40471" cy="2232000"/>
                      <wp:effectExtent l="1905" t="17145" r="14604" b="14604"/>
                      <wp:docPr id="79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4637148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 rot="16199998">
                                <a:off x="0" y="0"/>
                                <a:ext cx="2540471" cy="223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width:200.04pt;height:175.75pt;mso-wrap-distance-left:0.00pt;mso-wrap-distance-top:0.00pt;mso-wrap-distance-right:0.00pt;mso-wrap-distance-bottom:0.00pt;rotation:269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Ситуационный план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562145"/>
                      <wp:effectExtent l="0" t="0" r="0" b="0"/>
                      <wp:docPr id="80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8"/>
                              <a:srcRect l="18487" t="20588" r="19608" b="105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562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width:175.75pt;height:123.00pt;mso-wrap-distance-left:0.00pt;mso-wrap-distance-top:0.00pt;mso-wrap-distance-right:0.00pt;mso-wrap-distance-bottom:0.00pt;" stroked="f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  <w:keepNext/>
              <w:spacing w:after="0"/>
            </w:pPr>
            <w:r>
              <w:t xml:space="preserve">Памятная табличка на месте блиндажа</w:t>
            </w:r>
            <w:r/>
          </w:p>
        </w:tc>
      </w:tr>
      <w:tr>
        <w:tblPrEx/>
        <w:trPr>
          <w:trHeight w:val="2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9.2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Заглублённое в склон береговой линии, одноэтажное сооружение вытянутой прямоугольной формы, </w:t>
            </w:r>
            <w:r>
              <w:rPr>
                <w:rFonts w:ascii="Times New Roman" w:hAnsi="Times New Roman" w:cs="Times New Roman"/>
              </w:rPr>
              <w:br/>
              <w:t xml:space="preserve">с одним главным помещением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32000" cy="1603997"/>
                      <wp:effectExtent l="0" t="0" r="0" b="0"/>
                      <wp:docPr id="81" name="Рисунок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32000" cy="16039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width:175.75pt;height:126.30pt;mso-wrap-distance-left:0.00pt;mso-wrap-distance-top:0.00pt;mso-wrap-distance-right:0.00pt;mso-wrap-distance-bottom:0.00pt;" stroked="f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  <w:keepNext/>
              <w:spacing w:after="0"/>
            </w:pPr>
            <w:r>
              <w:t xml:space="preserve">Графическая реконструкция блиндажа*</w:t>
            </w:r>
            <w:r/>
          </w:p>
          <w:p>
            <w:pPr>
              <w:pStyle w:val="883"/>
              <w:keepNext/>
              <w:spacing w:before="12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*внешний вид и конфигурация блиндажа могут быть уточнены в ходе исследовательских работ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1175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9.3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Архитектурно-художественное решение памятника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и характер отделки </w:t>
            </w:r>
            <w:r>
              <w:rPr>
                <w:rFonts w:ascii="Times New Roman" w:hAnsi="Times New Roman" w:eastAsia="Times New Roman"/>
              </w:rPr>
              <w:t xml:space="preserve">—</w:t>
            </w:r>
            <w:r>
              <w:rPr>
                <w:rFonts w:ascii="Times New Roman" w:hAnsi="Times New Roman" w:cs="Times New Roman"/>
              </w:rPr>
              <w:t xml:space="preserve"> стены </w:t>
            </w:r>
            <w:r>
              <w:rPr>
                <w:rFonts w:ascii="Times New Roman" w:hAnsi="Times New Roman" w:cs="Times New Roman"/>
              </w:rPr>
              <w:br/>
              <w:t xml:space="preserve">и перекрытия </w:t>
            </w:r>
            <w:r>
              <w:rPr>
                <w:rFonts w:ascii="Times New Roman" w:hAnsi="Times New Roman" w:cs="Times New Roman"/>
              </w:rPr>
              <w:br/>
              <w:t xml:space="preserve">из деревянного бруса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vAlign w:val="center"/>
            <w:textDirection w:val="lrTb"/>
            <w:noWrap w:val="false"/>
          </w:tcPr>
          <w:p>
            <w:pPr>
              <w:pStyle w:val="883"/>
              <w:keepNext/>
              <w:spacing w:before="120" w:after="0"/>
            </w:pPr>
            <w:r/>
            <w:r/>
          </w:p>
        </w:tc>
      </w:tr>
    </w:tbl>
    <w:p>
      <w:r>
        <w:br w:type="page" w:clear="all"/>
      </w:r>
      <w:r/>
    </w:p>
    <w:tbl>
      <w:tblPr>
        <w:tblStyle w:val="877"/>
        <w:tblW w:w="9496" w:type="dxa"/>
        <w:tblLayout w:type="fixed"/>
        <w:tblLook w:val="04A0" w:firstRow="1" w:lastRow="0" w:firstColumn="1" w:lastColumn="0" w:noHBand="0" w:noVBand="1"/>
      </w:tblPr>
      <w:tblGrid>
        <w:gridCol w:w="704"/>
        <w:gridCol w:w="2324"/>
        <w:gridCol w:w="2693"/>
        <w:gridCol w:w="3775"/>
      </w:tblGrid>
      <w:tr>
        <w:tblPrEx/>
        <w:trPr>
          <w:trHeight w:val="20"/>
        </w:trPr>
        <w:tc>
          <w:tcPr>
            <w:gridSpan w:val="4"/>
            <w:shd w:val="clear" w:color="auto" w:fill="d9d9d9" w:themeFill="background1" w:themeFillShade="D9"/>
            <w:tcW w:w="9496" w:type="dxa"/>
            <w:textDirection w:val="lrTb"/>
            <w:noWrap w:val="false"/>
          </w:tcPr>
          <w:p>
            <w:pPr>
              <w:jc w:val="center"/>
              <w:keepNext/>
              <w:spacing w:before="40" w:after="40"/>
            </w:pPr>
            <w:r>
              <w:rPr>
                <w:rFonts w:ascii="Times New Roman" w:hAnsi="Times New Roman" w:eastAsia="Times New Roman"/>
                <w:b/>
              </w:rPr>
              <w:t xml:space="preserve">10. Фундамент разрушенной школы (в годы войны </w:t>
            </w:r>
            <w:r>
              <w:rPr>
                <w:rFonts w:ascii="Times New Roman" w:hAnsi="Times New Roman" w:eastAsia="Times New Roman"/>
              </w:rPr>
              <w:t xml:space="preserve">—</w:t>
            </w:r>
            <w:r>
              <w:rPr>
                <w:rFonts w:ascii="Times New Roman" w:hAnsi="Times New Roman" w:eastAsia="Times New Roman"/>
                <w:b/>
              </w:rPr>
              <w:t xml:space="preserve"> опорный пункт) </w:t>
            </w:r>
            <w:r/>
          </w:p>
        </w:tc>
      </w:tr>
      <w:tr>
        <w:tblPrEx/>
        <w:trPr>
          <w:trHeight w:val="3426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10.1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Объемно-пространственное и 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местоположение, габариты, конфигурация.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1242060</wp:posOffset>
                      </wp:positionH>
                      <wp:positionV relativeFrom="paragraph">
                        <wp:posOffset>797560</wp:posOffset>
                      </wp:positionV>
                      <wp:extent cx="247499" cy="236169"/>
                      <wp:effectExtent l="38100" t="0" r="19685" b="50165"/>
                      <wp:wrapNone/>
                      <wp:docPr id="82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1">
                                <a:off x="0" y="0"/>
                                <a:ext cx="247499" cy="23616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81" o:spid="_x0000_s81" o:spt="32" type="#_x0000_t32" style="position:absolute;z-index:251664384;o:allowoverlap:true;o:allowincell:true;mso-position-horizontal-relative:text;margin-left:97.80pt;mso-position-horizontal:absolute;mso-position-vertical-relative:text;margin-top:62.80pt;mso-position-vertical:absolute;width:19.49pt;height:18.60pt;mso-wrap-distance-left:9.00pt;mso-wrap-distance-top:0.00pt;mso-wrap-distance-right:9.00pt;mso-wrap-distance-bottom:0.00pt;flip:x;visibility:visible;" filled="f" strokecolor="#ED7D31" strokeweight="0.50pt">
                      <v:stroke dashstyle="solid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1031240</wp:posOffset>
                      </wp:positionV>
                      <wp:extent cx="729405" cy="732440"/>
                      <wp:effectExtent l="0" t="0" r="13970" b="10795"/>
                      <wp:wrapNone/>
                      <wp:docPr id="83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729405" cy="732440"/>
                              </a:xfrm>
                              <a:prstGeom prst="ellipse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" o:spid="_x0000_s82" o:spt="3" type="#_x0000_t3" style="position:absolute;z-index:251663360;o:allowoverlap:true;o:allowincell:true;mso-position-horizontal-relative:text;margin-left:55.60pt;mso-position-horizontal:absolute;mso-position-vertical-relative:text;margin-top:81.20pt;mso-position-vertical:absolute;width:57.43pt;height:57.67pt;mso-wrap-distance-left:9.00pt;mso-wrap-distance-top:0.00pt;mso-wrap-distance-right:9.00pt;mso-wrap-distance-bottom:0.00pt;visibility:visible;" filled="f" strokecolor="#ED7D31" strokeweight="1.00pt">
                      <v:stroke dashstyle="solid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52248" cy="1603280"/>
                      <wp:effectExtent l="10160" t="27940" r="25400" b="25400"/>
                      <wp:docPr id="84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40049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0"/>
                              <a:srcRect l="13479" t="0" r="0" b="0"/>
                              <a:stretch/>
                            </pic:blipFill>
                            <pic:spPr bwMode="auto">
                              <a:xfrm rot="16199998">
                                <a:off x="0" y="0"/>
                                <a:ext cx="1856731" cy="160716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width:145.85pt;height:126.24pt;mso-wrap-distance-left:0.00pt;mso-wrap-distance-top:0.00pt;mso-wrap-distance-right:0.00pt;mso-wrap-distance-bottom:0.00pt;rotation:269;" strokecolor="#000000" strokeweight="0.25pt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Ситуационный план местоположения фрагментов фундаментов школы</w:t>
            </w:r>
            <w:r/>
          </w:p>
        </w:tc>
      </w:tr>
      <w:tr>
        <w:tblPrEx/>
        <w:trPr>
          <w:trHeight w:val="3388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10.2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Объемно-планировочное решение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</w:rPr>
              <w:t xml:space="preserve">Историческая конфигурация фундаментов в плане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31644" cy="2098673"/>
                      <wp:effectExtent l="26034" t="12065" r="9525" b="9525"/>
                      <wp:docPr id="85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5070875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 rot="16199998">
                                <a:off x="0" y="0"/>
                                <a:ext cx="1733521" cy="2100947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width:136.35pt;height:165.25pt;mso-wrap-distance-left:0.00pt;mso-wrap-distance-top:0.00pt;mso-wrap-distance-right:0.00pt;mso-wrap-distance-bottom:0.00pt;rotation:269;" strokecolor="#000000" strokeweight="0.25pt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Ситуационный план местоположения фрагментов фундаментов школы</w:t>
            </w:r>
            <w:r/>
          </w:p>
        </w:tc>
      </w:tr>
      <w:tr>
        <w:tblPrEx/>
        <w:trPr>
          <w:trHeight w:val="2691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spacing w:before="40" w:after="4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10.3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2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Архитектурно-художественное решение памятника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 и характер сохранившихся элементов фундаментов разрушенной школы </w:t>
            </w:r>
            <w:r>
              <w:rPr>
                <w:rFonts w:ascii="Times New Roman" w:hAnsi="Times New Roman" w:eastAsia="Times New Roman"/>
              </w:rPr>
              <w:t xml:space="preserve">— смешанная кладка (валуны, кирпич)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775" w:type="dxa"/>
            <w:textDirection w:val="lrTb"/>
            <w:noWrap w:val="false"/>
          </w:tcPr>
          <w:p>
            <w:pPr>
              <w:pStyle w:val="882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66950" cy="1409700"/>
                      <wp:effectExtent l="0" t="0" r="0" b="0"/>
                      <wp:docPr id="86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66950" cy="1409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width:178.50pt;height:111.00pt;mso-wrap-distance-left:0.00pt;mso-wrap-distance-top:0.00pt;mso-wrap-distance-right:0.00pt;mso-wrap-distance-bottom:0.00pt;" stroked="f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  <w:p>
            <w:pPr>
              <w:pStyle w:val="883"/>
            </w:pPr>
            <w:r>
              <w:t xml:space="preserve">Сохранившиеся фрагменты фундаментов разрушенной школы</w:t>
            </w:r>
            <w:r/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footerReference w:type="default" r:id="rId9"/>
      <w:footnotePr/>
      <w:endnotePr/>
      <w:type w:val="nextPage"/>
      <w:pgSz w:w="11906" w:h="16838" w:orient="portrait"/>
      <w:pgMar w:top="709" w:right="850" w:bottom="851" w:left="1701" w:header="708" w:footer="285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Segoe UI">
    <w:panose1 w:val="020B0503020204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70741172"/>
      <w:docPartObj>
        <w:docPartGallery w:val="Page Numbers (Bottom of Page)"/>
        <w:docPartUnique w:val="true"/>
      </w:docPartObj>
      <w:rPr/>
    </w:sdtPr>
    <w:sdtContent>
      <w:p>
        <w:pPr>
          <w:pStyle w:val="88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8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3">
    <w:name w:val="Heading 1 Char"/>
    <w:basedOn w:val="709"/>
    <w:link w:val="7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4">
    <w:name w:val="Heading 2 Char"/>
    <w:basedOn w:val="709"/>
    <w:link w:val="701"/>
    <w:uiPriority w:val="9"/>
    <w:rPr>
      <w:rFonts w:ascii="Liberation Sans" w:hAnsi="Liberation Sans" w:eastAsia="Liberation Sans" w:cs="Liberation Sans"/>
      <w:sz w:val="34"/>
    </w:rPr>
  </w:style>
  <w:style w:type="character" w:styleId="685">
    <w:name w:val="Heading 3 Char"/>
    <w:basedOn w:val="709"/>
    <w:link w:val="70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6">
    <w:name w:val="Heading 4 Char"/>
    <w:basedOn w:val="709"/>
    <w:link w:val="70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7">
    <w:name w:val="Heading 5 Char"/>
    <w:basedOn w:val="709"/>
    <w:link w:val="70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8">
    <w:name w:val="Heading 6 Char"/>
    <w:basedOn w:val="709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9">
    <w:name w:val="Heading 7 Char"/>
    <w:basedOn w:val="709"/>
    <w:link w:val="70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0">
    <w:name w:val="Heading 8 Char"/>
    <w:basedOn w:val="709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1">
    <w:name w:val="Heading 9 Char"/>
    <w:basedOn w:val="709"/>
    <w:link w:val="7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>
    <w:name w:val="Title Char"/>
    <w:basedOn w:val="709"/>
    <w:link w:val="722"/>
    <w:uiPriority w:val="10"/>
    <w:rPr>
      <w:sz w:val="48"/>
      <w:szCs w:val="48"/>
    </w:rPr>
  </w:style>
  <w:style w:type="character" w:styleId="693">
    <w:name w:val="Subtitle Char"/>
    <w:basedOn w:val="709"/>
    <w:link w:val="724"/>
    <w:uiPriority w:val="11"/>
    <w:rPr>
      <w:sz w:val="24"/>
      <w:szCs w:val="24"/>
    </w:rPr>
  </w:style>
  <w:style w:type="character" w:styleId="694">
    <w:name w:val="Quote Char"/>
    <w:link w:val="726"/>
    <w:uiPriority w:val="29"/>
    <w:rPr>
      <w:i/>
    </w:rPr>
  </w:style>
  <w:style w:type="character" w:styleId="695">
    <w:name w:val="Intense Quote Char"/>
    <w:link w:val="728"/>
    <w:uiPriority w:val="30"/>
    <w:rPr>
      <w:i/>
    </w:rPr>
  </w:style>
  <w:style w:type="character" w:styleId="696">
    <w:name w:val="Caption Char"/>
    <w:basedOn w:val="709"/>
    <w:link w:val="732"/>
    <w:uiPriority w:val="35"/>
    <w:rPr>
      <w:b/>
      <w:bCs/>
      <w:color w:val="4f81bd" w:themeColor="accent1"/>
      <w:sz w:val="18"/>
      <w:szCs w:val="18"/>
    </w:rPr>
  </w:style>
  <w:style w:type="character" w:styleId="697">
    <w:name w:val="Footnote Text Char"/>
    <w:link w:val="860"/>
    <w:uiPriority w:val="99"/>
    <w:rPr>
      <w:sz w:val="18"/>
    </w:rPr>
  </w:style>
  <w:style w:type="character" w:styleId="698">
    <w:name w:val="Endnote Text Char"/>
    <w:link w:val="863"/>
    <w:uiPriority w:val="99"/>
    <w:rPr>
      <w:sz w:val="20"/>
    </w:rPr>
  </w:style>
  <w:style w:type="paragraph" w:styleId="699" w:default="1">
    <w:name w:val="Normal"/>
    <w:qFormat/>
  </w:style>
  <w:style w:type="paragraph" w:styleId="700">
    <w:name w:val="Heading 1"/>
    <w:basedOn w:val="699"/>
    <w:next w:val="699"/>
    <w:link w:val="71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01">
    <w:name w:val="Heading 2"/>
    <w:basedOn w:val="699"/>
    <w:next w:val="699"/>
    <w:link w:val="71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02">
    <w:name w:val="Heading 3"/>
    <w:basedOn w:val="699"/>
    <w:next w:val="699"/>
    <w:link w:val="71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03">
    <w:name w:val="Heading 4"/>
    <w:basedOn w:val="699"/>
    <w:next w:val="699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4">
    <w:name w:val="Heading 5"/>
    <w:basedOn w:val="699"/>
    <w:next w:val="699"/>
    <w:link w:val="71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5">
    <w:name w:val="Heading 6"/>
    <w:basedOn w:val="699"/>
    <w:next w:val="699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06">
    <w:name w:val="Heading 7"/>
    <w:basedOn w:val="699"/>
    <w:next w:val="699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07">
    <w:name w:val="Heading 8"/>
    <w:basedOn w:val="699"/>
    <w:next w:val="699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08">
    <w:name w:val="Heading 9"/>
    <w:basedOn w:val="699"/>
    <w:next w:val="699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9" w:default="1">
    <w:name w:val="Default Paragraph Font"/>
    <w:uiPriority w:val="1"/>
    <w:semiHidden/>
    <w:unhideWhenUsed/>
  </w:style>
  <w:style w:type="table" w:styleId="7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1" w:default="1">
    <w:name w:val="No List"/>
    <w:uiPriority w:val="99"/>
    <w:semiHidden/>
    <w:unhideWhenUsed/>
  </w:style>
  <w:style w:type="character" w:styleId="712" w:customStyle="1">
    <w:name w:val="Заголовок 1 Знак"/>
    <w:basedOn w:val="709"/>
    <w:link w:val="7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3" w:customStyle="1">
    <w:name w:val="Заголовок 2 Знак"/>
    <w:basedOn w:val="709"/>
    <w:link w:val="701"/>
    <w:uiPriority w:val="9"/>
    <w:rPr>
      <w:rFonts w:ascii="Liberation Sans" w:hAnsi="Liberation Sans" w:eastAsia="Liberation Sans" w:cs="Liberation Sans"/>
      <w:sz w:val="34"/>
    </w:rPr>
  </w:style>
  <w:style w:type="character" w:styleId="714" w:customStyle="1">
    <w:name w:val="Заголовок 3 Знак"/>
    <w:basedOn w:val="709"/>
    <w:link w:val="70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5" w:customStyle="1">
    <w:name w:val="Заголовок 4 Знак"/>
    <w:basedOn w:val="709"/>
    <w:link w:val="70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6" w:customStyle="1">
    <w:name w:val="Заголовок 5 Знак"/>
    <w:basedOn w:val="709"/>
    <w:link w:val="70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7" w:customStyle="1">
    <w:name w:val="Заголовок 6 Знак"/>
    <w:basedOn w:val="709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8" w:customStyle="1">
    <w:name w:val="Заголовок 7 Знак"/>
    <w:basedOn w:val="709"/>
    <w:link w:val="70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9" w:customStyle="1">
    <w:name w:val="Заголовок 8 Знак"/>
    <w:basedOn w:val="709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0" w:customStyle="1">
    <w:name w:val="Заголовок 9 Знак"/>
    <w:basedOn w:val="709"/>
    <w:link w:val="7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1">
    <w:name w:val="No Spacing"/>
    <w:uiPriority w:val="1"/>
    <w:qFormat/>
    <w:pPr>
      <w:spacing w:after="0" w:line="240" w:lineRule="auto"/>
    </w:pPr>
  </w:style>
  <w:style w:type="paragraph" w:styleId="722">
    <w:name w:val="Title"/>
    <w:basedOn w:val="699"/>
    <w:next w:val="699"/>
    <w:link w:val="72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3" w:customStyle="1">
    <w:name w:val="Заголовок Знак"/>
    <w:basedOn w:val="709"/>
    <w:link w:val="722"/>
    <w:uiPriority w:val="10"/>
    <w:rPr>
      <w:sz w:val="48"/>
      <w:szCs w:val="48"/>
    </w:rPr>
  </w:style>
  <w:style w:type="paragraph" w:styleId="724">
    <w:name w:val="Subtitle"/>
    <w:basedOn w:val="699"/>
    <w:next w:val="699"/>
    <w:link w:val="725"/>
    <w:uiPriority w:val="11"/>
    <w:qFormat/>
    <w:pPr>
      <w:spacing w:before="200" w:after="200"/>
    </w:pPr>
    <w:rPr>
      <w:sz w:val="24"/>
      <w:szCs w:val="24"/>
    </w:rPr>
  </w:style>
  <w:style w:type="character" w:styleId="725" w:customStyle="1">
    <w:name w:val="Подзаголовок Знак"/>
    <w:basedOn w:val="709"/>
    <w:link w:val="724"/>
    <w:uiPriority w:val="11"/>
    <w:rPr>
      <w:sz w:val="24"/>
      <w:szCs w:val="24"/>
    </w:rPr>
  </w:style>
  <w:style w:type="paragraph" w:styleId="726">
    <w:name w:val="Quote"/>
    <w:basedOn w:val="699"/>
    <w:next w:val="699"/>
    <w:link w:val="727"/>
    <w:uiPriority w:val="29"/>
    <w:qFormat/>
    <w:pPr>
      <w:ind w:left="720" w:right="720"/>
    </w:pPr>
    <w:rPr>
      <w:i/>
    </w:rPr>
  </w:style>
  <w:style w:type="character" w:styleId="727" w:customStyle="1">
    <w:name w:val="Цитата 2 Знак"/>
    <w:link w:val="726"/>
    <w:uiPriority w:val="29"/>
    <w:rPr>
      <w:i/>
    </w:rPr>
  </w:style>
  <w:style w:type="paragraph" w:styleId="728">
    <w:name w:val="Intense Quote"/>
    <w:basedOn w:val="699"/>
    <w:next w:val="699"/>
    <w:link w:val="72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 w:customStyle="1">
    <w:name w:val="Выделенная цитата Знак"/>
    <w:link w:val="728"/>
    <w:uiPriority w:val="30"/>
    <w:rPr>
      <w:i/>
    </w:rPr>
  </w:style>
  <w:style w:type="character" w:styleId="730" w:customStyle="1">
    <w:name w:val="Header Char"/>
    <w:basedOn w:val="709"/>
    <w:uiPriority w:val="99"/>
  </w:style>
  <w:style w:type="character" w:styleId="731" w:customStyle="1">
    <w:name w:val="Footer Char"/>
    <w:basedOn w:val="709"/>
    <w:uiPriority w:val="99"/>
  </w:style>
  <w:style w:type="paragraph" w:styleId="732">
    <w:name w:val="Caption"/>
    <w:basedOn w:val="699"/>
    <w:next w:val="699"/>
    <w:link w:val="733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33" w:customStyle="1">
    <w:name w:val="Название объекта Знак"/>
    <w:basedOn w:val="709"/>
    <w:link w:val="732"/>
    <w:uiPriority w:val="35"/>
    <w:rPr>
      <w:b/>
      <w:bCs/>
      <w:color w:val="4472c4" w:themeColor="accent1"/>
      <w:sz w:val="18"/>
      <w:szCs w:val="18"/>
    </w:rPr>
  </w:style>
  <w:style w:type="table" w:styleId="734" w:customStyle="1">
    <w:name w:val="Table Grid Light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5">
    <w:name w:val="Plain Table 1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6">
    <w:name w:val="Plain Table 2"/>
    <w:basedOn w:val="7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7">
    <w:name w:val="Plain Table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Grid Table 4 - Accent 1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63" w:customStyle="1">
    <w:name w:val="Grid Table 4 - Accent 2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4" w:customStyle="1">
    <w:name w:val="Grid Table 4 - Accent 3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5" w:customStyle="1">
    <w:name w:val="Grid Table 4 - Accent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6" w:customStyle="1">
    <w:name w:val="Grid Table 4 - Accent 5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67" w:customStyle="1">
    <w:name w:val="Grid Table 4 - Accent 6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8">
    <w:name w:val="Grid Table 5 Dark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5">
    <w:name w:val="Grid Table 6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6" w:customStyle="1">
    <w:name w:val="Grid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77" w:customStyle="1">
    <w:name w:val="Grid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8" w:customStyle="1">
    <w:name w:val="Grid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9" w:customStyle="1">
    <w:name w:val="Grid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0" w:customStyle="1">
    <w:name w:val="Grid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1" w:customStyle="1">
    <w:name w:val="Grid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2">
    <w:name w:val="Grid Table 7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Grid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Grid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>
    <w:name w:val="List Table 1 Light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8" w:customStyle="1">
    <w:name w:val="List Table 5 Dark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9" w:customStyle="1">
    <w:name w:val="List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0" w:customStyle="1">
    <w:name w:val="List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1" w:customStyle="1">
    <w:name w:val="List Table 5 Dark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2" w:customStyle="1">
    <w:name w:val="List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3" w:customStyle="1">
    <w:name w:val="List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4">
    <w:name w:val="List Table 6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5" w:customStyle="1">
    <w:name w:val="List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26" w:customStyle="1">
    <w:name w:val="List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7" w:customStyle="1">
    <w:name w:val="List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8" w:customStyle="1">
    <w:name w:val="List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9" w:customStyle="1">
    <w:name w:val="List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30" w:customStyle="1">
    <w:name w:val="List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1">
    <w:name w:val="List Table 7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st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st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0" w:customStyle="1">
    <w:name w:val="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4" w:customStyle="1">
    <w:name w:val="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 &amp; 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Bordered &amp; 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7" w:customStyle="1">
    <w:name w:val="Bordered &amp; 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Bordered &amp; 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Bordered &amp; 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Bordered &amp; 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51" w:customStyle="1">
    <w:name w:val="Bordered &amp; 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3" w:customStyle="1">
    <w:name w:val="Bordered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54" w:customStyle="1">
    <w:name w:val="Bordered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5" w:customStyle="1">
    <w:name w:val="Bordered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6" w:customStyle="1">
    <w:name w:val="Bordered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7" w:customStyle="1">
    <w:name w:val="Bordered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58" w:customStyle="1">
    <w:name w:val="Bordered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9">
    <w:name w:val="Hyperlink"/>
    <w:uiPriority w:val="99"/>
    <w:unhideWhenUsed/>
    <w:rPr>
      <w:color w:val="0563c1" w:themeColor="hyperlink"/>
      <w:u w:val="single"/>
    </w:rPr>
  </w:style>
  <w:style w:type="paragraph" w:styleId="860">
    <w:name w:val="footnote text"/>
    <w:basedOn w:val="699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basedOn w:val="709"/>
    <w:uiPriority w:val="99"/>
    <w:unhideWhenUsed/>
    <w:rPr>
      <w:vertAlign w:val="superscript"/>
    </w:rPr>
  </w:style>
  <w:style w:type="paragraph" w:styleId="863">
    <w:name w:val="endnote text"/>
    <w:basedOn w:val="699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basedOn w:val="709"/>
    <w:uiPriority w:val="99"/>
    <w:semiHidden/>
    <w:unhideWhenUsed/>
    <w:rPr>
      <w:vertAlign w:val="superscript"/>
    </w:rPr>
  </w:style>
  <w:style w:type="paragraph" w:styleId="866">
    <w:name w:val="toc 1"/>
    <w:basedOn w:val="699"/>
    <w:next w:val="699"/>
    <w:uiPriority w:val="39"/>
    <w:unhideWhenUsed/>
    <w:pPr>
      <w:spacing w:after="57"/>
    </w:pPr>
  </w:style>
  <w:style w:type="paragraph" w:styleId="867">
    <w:name w:val="toc 2"/>
    <w:basedOn w:val="699"/>
    <w:next w:val="699"/>
    <w:uiPriority w:val="39"/>
    <w:unhideWhenUsed/>
    <w:pPr>
      <w:ind w:left="283"/>
      <w:spacing w:after="57"/>
    </w:pPr>
  </w:style>
  <w:style w:type="paragraph" w:styleId="868">
    <w:name w:val="toc 3"/>
    <w:basedOn w:val="699"/>
    <w:next w:val="699"/>
    <w:uiPriority w:val="39"/>
    <w:unhideWhenUsed/>
    <w:pPr>
      <w:ind w:left="567"/>
      <w:spacing w:after="57"/>
    </w:pPr>
  </w:style>
  <w:style w:type="paragraph" w:styleId="869">
    <w:name w:val="toc 4"/>
    <w:basedOn w:val="699"/>
    <w:next w:val="699"/>
    <w:uiPriority w:val="39"/>
    <w:unhideWhenUsed/>
    <w:pPr>
      <w:ind w:left="850"/>
      <w:spacing w:after="57"/>
    </w:pPr>
  </w:style>
  <w:style w:type="paragraph" w:styleId="870">
    <w:name w:val="toc 5"/>
    <w:basedOn w:val="699"/>
    <w:next w:val="699"/>
    <w:uiPriority w:val="39"/>
    <w:unhideWhenUsed/>
    <w:pPr>
      <w:ind w:left="1134"/>
      <w:spacing w:after="57"/>
    </w:pPr>
  </w:style>
  <w:style w:type="paragraph" w:styleId="871">
    <w:name w:val="toc 6"/>
    <w:basedOn w:val="699"/>
    <w:next w:val="699"/>
    <w:uiPriority w:val="39"/>
    <w:unhideWhenUsed/>
    <w:pPr>
      <w:ind w:left="1417"/>
      <w:spacing w:after="57"/>
    </w:pPr>
  </w:style>
  <w:style w:type="paragraph" w:styleId="872">
    <w:name w:val="toc 7"/>
    <w:basedOn w:val="699"/>
    <w:next w:val="699"/>
    <w:uiPriority w:val="39"/>
    <w:unhideWhenUsed/>
    <w:pPr>
      <w:ind w:left="1701"/>
      <w:spacing w:after="57"/>
    </w:pPr>
  </w:style>
  <w:style w:type="paragraph" w:styleId="873">
    <w:name w:val="toc 8"/>
    <w:basedOn w:val="699"/>
    <w:next w:val="699"/>
    <w:uiPriority w:val="39"/>
    <w:unhideWhenUsed/>
    <w:pPr>
      <w:ind w:left="1984"/>
      <w:spacing w:after="57"/>
    </w:pPr>
  </w:style>
  <w:style w:type="paragraph" w:styleId="874">
    <w:name w:val="toc 9"/>
    <w:basedOn w:val="699"/>
    <w:next w:val="699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699"/>
    <w:next w:val="699"/>
    <w:uiPriority w:val="99"/>
    <w:unhideWhenUsed/>
    <w:pPr>
      <w:spacing w:after="0"/>
    </w:pPr>
  </w:style>
  <w:style w:type="table" w:styleId="877">
    <w:name w:val="Table Grid"/>
    <w:basedOn w:val="71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8">
    <w:name w:val="Header"/>
    <w:basedOn w:val="699"/>
    <w:link w:val="87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9" w:customStyle="1">
    <w:name w:val="Верхний колонтитул Знак"/>
    <w:basedOn w:val="709"/>
    <w:link w:val="878"/>
    <w:uiPriority w:val="99"/>
  </w:style>
  <w:style w:type="paragraph" w:styleId="880">
    <w:name w:val="Footer"/>
    <w:basedOn w:val="699"/>
    <w:link w:val="8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1" w:customStyle="1">
    <w:name w:val="Нижний колонтитул Знак"/>
    <w:basedOn w:val="709"/>
    <w:link w:val="880"/>
    <w:uiPriority w:val="99"/>
  </w:style>
  <w:style w:type="paragraph" w:styleId="882" w:customStyle="1">
    <w:name w:val="Изображение"/>
    <w:basedOn w:val="699"/>
    <w:qFormat/>
    <w:pPr>
      <w:jc w:val="center"/>
      <w:keepNext/>
      <w:spacing w:before="120" w:after="0" w:line="240" w:lineRule="auto"/>
    </w:pPr>
  </w:style>
  <w:style w:type="paragraph" w:styleId="883" w:customStyle="1">
    <w:name w:val="Подпись объекта"/>
    <w:basedOn w:val="699"/>
    <w:qFormat/>
    <w:pPr>
      <w:jc w:val="center"/>
      <w:spacing w:after="120" w:line="240" w:lineRule="auto"/>
    </w:pPr>
    <w:rPr>
      <w:rFonts w:ascii="Times New Roman" w:hAnsi="Times New Roman" w:cs="Times New Roman"/>
      <w:sz w:val="20"/>
      <w:szCs w:val="20"/>
    </w:rPr>
  </w:style>
  <w:style w:type="paragraph" w:styleId="884">
    <w:name w:val="List Paragraph"/>
    <w:basedOn w:val="699"/>
    <w:uiPriority w:val="34"/>
    <w:qFormat/>
    <w:pPr>
      <w:contextualSpacing/>
      <w:ind w:left="720"/>
    </w:pPr>
  </w:style>
  <w:style w:type="character" w:styleId="885">
    <w:name w:val="annotation reference"/>
    <w:basedOn w:val="709"/>
    <w:uiPriority w:val="99"/>
    <w:semiHidden/>
    <w:unhideWhenUsed/>
    <w:rPr>
      <w:sz w:val="16"/>
      <w:szCs w:val="16"/>
    </w:rPr>
  </w:style>
  <w:style w:type="paragraph" w:styleId="886">
    <w:name w:val="annotation text"/>
    <w:basedOn w:val="699"/>
    <w:link w:val="887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87" w:customStyle="1">
    <w:name w:val="Текст примечания Знак"/>
    <w:basedOn w:val="709"/>
    <w:link w:val="886"/>
    <w:uiPriority w:val="99"/>
    <w:semiHidden/>
    <w:rPr>
      <w:sz w:val="20"/>
      <w:szCs w:val="20"/>
    </w:rPr>
  </w:style>
  <w:style w:type="paragraph" w:styleId="888">
    <w:name w:val="annotation subject"/>
    <w:basedOn w:val="886"/>
    <w:next w:val="886"/>
    <w:link w:val="889"/>
    <w:uiPriority w:val="99"/>
    <w:semiHidden/>
    <w:unhideWhenUsed/>
    <w:rPr>
      <w:b/>
      <w:bCs/>
    </w:rPr>
  </w:style>
  <w:style w:type="character" w:styleId="889" w:customStyle="1">
    <w:name w:val="Тема примечания Знак"/>
    <w:basedOn w:val="887"/>
    <w:link w:val="888"/>
    <w:uiPriority w:val="99"/>
    <w:semiHidden/>
    <w:rPr>
      <w:b/>
      <w:bCs/>
      <w:sz w:val="20"/>
      <w:szCs w:val="20"/>
    </w:rPr>
  </w:style>
  <w:style w:type="paragraph" w:styleId="890">
    <w:name w:val="Balloon Text"/>
    <w:basedOn w:val="699"/>
    <w:link w:val="89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1" w:customStyle="1">
    <w:name w:val="Текст выноски Знак"/>
    <w:basedOn w:val="709"/>
    <w:link w:val="890"/>
    <w:uiPriority w:val="99"/>
    <w:semiHidden/>
    <w:rPr>
      <w:rFonts w:ascii="Segoe UI" w:hAnsi="Segoe UI" w:cs="Segoe UI"/>
      <w:sz w:val="18"/>
      <w:szCs w:val="18"/>
    </w:rPr>
  </w:style>
  <w:style w:type="paragraph" w:styleId="892">
    <w:name w:val="Normal (Web)"/>
    <w:basedOn w:val="699"/>
    <w:uiPriority w:val="99"/>
    <w:semiHidden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Relationship Id="rId45" Type="http://schemas.openxmlformats.org/officeDocument/2006/relationships/image" Target="media/image35.jpg"/><Relationship Id="rId46" Type="http://schemas.openxmlformats.org/officeDocument/2006/relationships/image" Target="media/image36.jpg"/><Relationship Id="rId47" Type="http://schemas.openxmlformats.org/officeDocument/2006/relationships/image" Target="media/image37.jpg"/><Relationship Id="rId48" Type="http://schemas.openxmlformats.org/officeDocument/2006/relationships/image" Target="media/image38.jpg"/><Relationship Id="rId49" Type="http://schemas.openxmlformats.org/officeDocument/2006/relationships/image" Target="media/image39.jpg"/><Relationship Id="rId50" Type="http://schemas.openxmlformats.org/officeDocument/2006/relationships/image" Target="media/image40.jpg"/><Relationship Id="rId51" Type="http://schemas.openxmlformats.org/officeDocument/2006/relationships/image" Target="media/image41.jpg"/><Relationship Id="rId52" Type="http://schemas.openxmlformats.org/officeDocument/2006/relationships/image" Target="media/image42.jpg"/><Relationship Id="rId53" Type="http://schemas.openxmlformats.org/officeDocument/2006/relationships/image" Target="media/image43.jpg"/><Relationship Id="rId54" Type="http://schemas.openxmlformats.org/officeDocument/2006/relationships/image" Target="media/image44.png"/><Relationship Id="rId55" Type="http://schemas.openxmlformats.org/officeDocument/2006/relationships/image" Target="media/image45.jpg"/><Relationship Id="rId56" Type="http://schemas.openxmlformats.org/officeDocument/2006/relationships/image" Target="media/image46.jpg"/><Relationship Id="rId57" Type="http://schemas.openxmlformats.org/officeDocument/2006/relationships/image" Target="media/image47.jpg"/><Relationship Id="rId58" Type="http://schemas.openxmlformats.org/officeDocument/2006/relationships/image" Target="media/image48.jpg"/><Relationship Id="rId59" Type="http://schemas.openxmlformats.org/officeDocument/2006/relationships/image" Target="media/image49.jpg"/><Relationship Id="rId60" Type="http://schemas.openxmlformats.org/officeDocument/2006/relationships/image" Target="media/image50.jpg"/><Relationship Id="rId61" Type="http://schemas.openxmlformats.org/officeDocument/2006/relationships/image" Target="media/image51.jpg"/><Relationship Id="rId62" Type="http://schemas.openxmlformats.org/officeDocument/2006/relationships/image" Target="media/image52.jpg"/><Relationship Id="rId63" Type="http://schemas.openxmlformats.org/officeDocument/2006/relationships/image" Target="media/image53.png"/><Relationship Id="rId64" Type="http://schemas.openxmlformats.org/officeDocument/2006/relationships/image" Target="media/image54.jpg"/><Relationship Id="rId65" Type="http://schemas.openxmlformats.org/officeDocument/2006/relationships/image" Target="media/image55.png"/><Relationship Id="rId66" Type="http://schemas.openxmlformats.org/officeDocument/2006/relationships/image" Target="media/image56.jpg"/><Relationship Id="rId67" Type="http://schemas.openxmlformats.org/officeDocument/2006/relationships/image" Target="media/image57.jpg"/><Relationship Id="rId68" Type="http://schemas.openxmlformats.org/officeDocument/2006/relationships/image" Target="media/image58.jpg"/><Relationship Id="rId69" Type="http://schemas.openxmlformats.org/officeDocument/2006/relationships/image" Target="media/image59.png"/><Relationship Id="rId70" Type="http://schemas.openxmlformats.org/officeDocument/2006/relationships/image" Target="media/image60.png"/><Relationship Id="rId71" Type="http://schemas.openxmlformats.org/officeDocument/2006/relationships/image" Target="media/image61.jpg"/><Relationship Id="rId72" Type="http://schemas.openxmlformats.org/officeDocument/2006/relationships/image" Target="media/image62.jpg"/><Relationship Id="rId73" Type="http://schemas.openxmlformats.org/officeDocument/2006/relationships/image" Target="media/image63.jpg"/><Relationship Id="rId74" Type="http://schemas.openxmlformats.org/officeDocument/2006/relationships/image" Target="media/image64.jpg"/><Relationship Id="rId75" Type="http://schemas.openxmlformats.org/officeDocument/2006/relationships/image" Target="media/image65.jpg"/><Relationship Id="rId76" Type="http://schemas.openxmlformats.org/officeDocument/2006/relationships/image" Target="media/image66.jpg"/><Relationship Id="rId77" Type="http://schemas.openxmlformats.org/officeDocument/2006/relationships/image" Target="media/image67.jpg"/><Relationship Id="rId78" Type="http://schemas.openxmlformats.org/officeDocument/2006/relationships/image" Target="media/image68.jpg"/><Relationship Id="rId79" Type="http://schemas.openxmlformats.org/officeDocument/2006/relationships/image" Target="media/image69.jpg"/><Relationship Id="rId80" Type="http://schemas.openxmlformats.org/officeDocument/2006/relationships/image" Target="media/image70.png"/><Relationship Id="rId81" Type="http://schemas.openxmlformats.org/officeDocument/2006/relationships/image" Target="media/image71.png"/><Relationship Id="rId82" Type="http://schemas.openxmlformats.org/officeDocument/2006/relationships/image" Target="media/image72.png"/><Relationship Id="rId83" Type="http://schemas.openxmlformats.org/officeDocument/2006/relationships/image" Target="media/image73.png"/><Relationship Id="rId84" Type="http://schemas.openxmlformats.org/officeDocument/2006/relationships/image" Target="media/image74.jpg"/><Relationship Id="rId85" Type="http://schemas.openxmlformats.org/officeDocument/2006/relationships/image" Target="media/image75.png"/><Relationship Id="rId86" Type="http://schemas.openxmlformats.org/officeDocument/2006/relationships/image" Target="media/image76.png"/><Relationship Id="rId87" Type="http://schemas.openxmlformats.org/officeDocument/2006/relationships/image" Target="media/image77.png"/><Relationship Id="rId88" Type="http://schemas.openxmlformats.org/officeDocument/2006/relationships/image" Target="media/image78.jpg"/><Relationship Id="rId89" Type="http://schemas.openxmlformats.org/officeDocument/2006/relationships/image" Target="media/image79.jpg"/><Relationship Id="rId90" Type="http://schemas.openxmlformats.org/officeDocument/2006/relationships/image" Target="media/image80.png"/><Relationship Id="rId91" Type="http://schemas.openxmlformats.org/officeDocument/2006/relationships/image" Target="media/image81.png"/><Relationship Id="rId92" Type="http://schemas.openxmlformats.org/officeDocument/2006/relationships/image" Target="media/image8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DD62B-5CDD-4E2C-A7E4-3C61593C3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Левинская</dc:creator>
  <cp:keywords/>
  <dc:description/>
  <cp:lastModifiedBy>na_zarubina</cp:lastModifiedBy>
  <cp:revision>195</cp:revision>
  <dcterms:created xsi:type="dcterms:W3CDTF">2026-04-21T12:55:00Z</dcterms:created>
  <dcterms:modified xsi:type="dcterms:W3CDTF">2026-10-29T08:19:35Z</dcterms:modified>
</cp:coreProperties>
</file>