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4F" w:rsidRDefault="006D767F" w:rsidP="0093484F">
      <w:pPr>
        <w:pStyle w:val="ConsPlusTitle"/>
        <w:spacing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:rsidR="0093484F" w:rsidRDefault="0093484F" w:rsidP="0093484F">
      <w:pPr>
        <w:pStyle w:val="ConsPlusTitle"/>
        <w:spacing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35182" w:rsidRDefault="77D93EDB" w:rsidP="77D93EDB">
      <w:pPr>
        <w:pStyle w:val="ConsPlusTitle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67F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ЛЕНИНГРАДСКОЙ ОБЛАСТИ</w:t>
      </w:r>
    </w:p>
    <w:p w:rsidR="006D767F" w:rsidRPr="006D767F" w:rsidRDefault="006D767F" w:rsidP="77D93EDB">
      <w:pPr>
        <w:pStyle w:val="ConsPlusTitle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182" w:rsidRPr="006D767F" w:rsidRDefault="77D93EDB" w:rsidP="77D93EDB">
      <w:pPr>
        <w:pStyle w:val="ConsPlusTitle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67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E35182" w:rsidRPr="006D767F" w:rsidRDefault="006D767F" w:rsidP="77D93EDB">
      <w:pPr>
        <w:pStyle w:val="ConsPlusTitle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_________</w:t>
      </w:r>
      <w:r w:rsidR="77D93EDB" w:rsidRPr="006D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D93EDB" w:rsidRPr="006D767F">
        <w:rPr>
          <w:rFonts w:ascii="Times New Roman" w:hAnsi="Times New Roman" w:cs="Times New Roman"/>
          <w:color w:val="000000" w:themeColor="text1"/>
          <w:sz w:val="28"/>
          <w:szCs w:val="28"/>
        </w:rPr>
        <w:t>№ _____</w:t>
      </w:r>
    </w:p>
    <w:p w:rsidR="00E35182" w:rsidRPr="006D767F" w:rsidRDefault="00E35182" w:rsidP="77D9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5182" w:rsidRPr="003564E1" w:rsidRDefault="77D93EDB" w:rsidP="77D93ED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64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6D767F" w:rsidRPr="003564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внесении изменени</w:t>
      </w:r>
      <w:r w:rsidR="00D350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6D767F" w:rsidRPr="003564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постановлени</w:t>
      </w:r>
      <w:r w:rsidR="00F61E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6D767F" w:rsidRPr="003564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Правительства Ленинградской области</w:t>
      </w:r>
      <w:r w:rsidR="003564E1" w:rsidRPr="003564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</w:t>
      </w:r>
      <w:r w:rsidR="00D81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 декабря</w:t>
      </w:r>
      <w:r w:rsidR="003564E1" w:rsidRPr="003564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D81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3564E1" w:rsidRPr="003564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№ </w:t>
      </w:r>
      <w:r w:rsidR="00D81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930</w:t>
      </w:r>
      <w:r w:rsidR="00D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564E1" w:rsidRPr="003564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A569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распределении в 202</w:t>
      </w:r>
      <w:r w:rsidR="00D81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A569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году субсидий из областного бюджета Ленинградской области бюджетам муниципальных образований Ленинградской области на реализацию мероприятий, направленных на повышение качества городской среды</w:t>
      </w:r>
      <w:r w:rsidR="003564E1" w:rsidRPr="003564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</w:p>
    <w:p w:rsidR="00E35182" w:rsidRPr="00566266" w:rsidRDefault="77D93EDB" w:rsidP="00EF12E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266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Ленинградской области постановляет:</w:t>
      </w:r>
    </w:p>
    <w:p w:rsidR="00CE4D9E" w:rsidRPr="00566266" w:rsidRDefault="003564E1" w:rsidP="0056626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F61E01" w:rsidRPr="00566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4D9E" w:rsidRPr="00566266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в 202</w:t>
      </w:r>
      <w:r w:rsidR="00D81A9B" w:rsidRPr="00566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CE4D9E" w:rsidRPr="00566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субсидий из областного бюджета Ленинградской области бюджетам муниципальных образований Ленинградской области на реализацию мероприятий, направленных на повышение качества городской среды, утвержденное постановлением Правительства Ленинградской области от </w:t>
      </w:r>
      <w:r w:rsidR="00EF12EA" w:rsidRPr="0056626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81A9B" w:rsidRPr="00566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2EA" w:rsidRPr="00566266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CE4D9E" w:rsidRPr="00566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D81A9B" w:rsidRPr="00566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года № </w:t>
      </w:r>
      <w:r w:rsidR="00EF12EA" w:rsidRPr="00566266">
        <w:rPr>
          <w:rFonts w:ascii="Times New Roman" w:hAnsi="Times New Roman" w:cs="Times New Roman"/>
          <w:color w:val="000000" w:themeColor="text1"/>
          <w:sz w:val="28"/>
          <w:szCs w:val="28"/>
        </w:rPr>
        <w:t>930,  изменение, изложив приложение в редакции согласно приложению к настоящему постановлению.</w:t>
      </w:r>
    </w:p>
    <w:p w:rsidR="002A7A7B" w:rsidRPr="00566266" w:rsidRDefault="002A7A7B" w:rsidP="00EF12EA">
      <w:pPr>
        <w:pStyle w:val="ConsPlusNormal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6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2A7A7B" w:rsidRDefault="002A7A7B" w:rsidP="00EF12E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A7B" w:rsidRDefault="002A7A7B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A7B" w:rsidRDefault="002A7A7B" w:rsidP="00CE4D9E">
      <w:pPr>
        <w:pStyle w:val="ConsPlusNormal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2A7A7B" w:rsidRDefault="002A7A7B" w:rsidP="00CE4D9E">
      <w:pPr>
        <w:pStyle w:val="ConsPlusNormal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 w:rsidR="00CE4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CE4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>Дрозденко</w:t>
      </w:r>
    </w:p>
    <w:p w:rsidR="002A7A7B" w:rsidRDefault="002A7A7B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A7B" w:rsidRDefault="002A7A7B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Default="00EF12EA" w:rsidP="00EF12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F12EA" w:rsidRDefault="00EF12EA" w:rsidP="00EF1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F12EA" w:rsidRDefault="00EF12EA" w:rsidP="00EF1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F12EA" w:rsidRDefault="00EF12EA" w:rsidP="00EF1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13.12.2023 </w:t>
      </w:r>
      <w:r w:rsidR="00A13F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930</w:t>
      </w:r>
    </w:p>
    <w:p w:rsidR="00EF12EA" w:rsidRDefault="00EF12EA" w:rsidP="00EF1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</w:t>
      </w:r>
    </w:p>
    <w:p w:rsidR="00EF12EA" w:rsidRDefault="00EF12EA" w:rsidP="00EF1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</w:p>
    <w:p w:rsidR="00EF12EA" w:rsidRDefault="00EF12EA" w:rsidP="00EF1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F12EA" w:rsidRDefault="00EF12EA" w:rsidP="00EF1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A13F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___)</w:t>
      </w:r>
    </w:p>
    <w:p w:rsidR="00EF12EA" w:rsidRDefault="00EF12EA" w:rsidP="00EF1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EF12EA" w:rsidRDefault="00EF12EA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EA" w:rsidRPr="00C257AA" w:rsidRDefault="00EF12EA" w:rsidP="00EF1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7AA">
        <w:rPr>
          <w:rFonts w:ascii="Times New Roman" w:hAnsi="Times New Roman" w:cs="Times New Roman"/>
          <w:sz w:val="28"/>
          <w:szCs w:val="28"/>
        </w:rPr>
        <w:t>РАСПРЕДЕЛЕНИЕ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57AA">
        <w:rPr>
          <w:rFonts w:ascii="Times New Roman" w:hAnsi="Times New Roman" w:cs="Times New Roman"/>
          <w:sz w:val="28"/>
          <w:szCs w:val="28"/>
        </w:rPr>
        <w:t xml:space="preserve"> ГОДУ СУБСИДИЙ ИЗ ОБЛАСТНОГО БЮДЖЕТА ЛЕНИНГРАДСКОЙ ОБЛАСТИ БЮДЖЕТАМ МУНИЦИПАЛЬНЫХ ОБРАЗОВАНИЙ ЛЕНИНГРАДСКОЙ ОБЛАСТИ НА РЕАЛИЗАЦИЮ МЕРОПРИЯТИЙ, НАПРАВЛЕННЫХ НА ПОВЫШЕНИЕ КАЧЕСТВА ГОРОДСКОЙ СРЕДЫ</w:t>
      </w:r>
    </w:p>
    <w:p w:rsidR="00EF12EA" w:rsidRDefault="00EF12EA" w:rsidP="00EF1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284" w:type="pct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5531"/>
        <w:gridCol w:w="2692"/>
      </w:tblGrid>
      <w:tr w:rsidR="00EF12EA" w:rsidRPr="00201CE4" w:rsidTr="00F1183D">
        <w:tc>
          <w:tcPr>
            <w:tcW w:w="354" w:type="pct"/>
            <w:vMerge w:val="restart"/>
          </w:tcPr>
          <w:p w:rsidR="00EF12EA" w:rsidRPr="00C257AA" w:rsidRDefault="00EF12EA" w:rsidP="00716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5" w:type="pct"/>
            <w:vMerge w:val="restart"/>
          </w:tcPr>
          <w:p w:rsidR="00EF12EA" w:rsidRPr="00C257AA" w:rsidRDefault="00EF12EA" w:rsidP="00716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521" w:type="pct"/>
          </w:tcPr>
          <w:p w:rsidR="00EF12EA" w:rsidRPr="00C257AA" w:rsidRDefault="00EF12EA" w:rsidP="00716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субсидии (руб.)</w:t>
            </w:r>
          </w:p>
        </w:tc>
      </w:tr>
      <w:tr w:rsidR="00EF12EA" w:rsidRPr="00201CE4" w:rsidTr="00F1183D">
        <w:tc>
          <w:tcPr>
            <w:tcW w:w="354" w:type="pct"/>
            <w:vMerge/>
          </w:tcPr>
          <w:p w:rsidR="00EF12EA" w:rsidRPr="00C257AA" w:rsidRDefault="00EF12EA" w:rsidP="00716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pct"/>
            <w:vMerge/>
          </w:tcPr>
          <w:p w:rsidR="00EF12EA" w:rsidRPr="00C257AA" w:rsidRDefault="00EF12EA" w:rsidP="00716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pct"/>
          </w:tcPr>
          <w:p w:rsidR="00EF12EA" w:rsidRPr="00C257AA" w:rsidRDefault="00EF12EA" w:rsidP="00716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F12EA" w:rsidRPr="00201CE4" w:rsidTr="00F1183D">
        <w:tc>
          <w:tcPr>
            <w:tcW w:w="354" w:type="pct"/>
          </w:tcPr>
          <w:p w:rsidR="00EF12EA" w:rsidRPr="00C257AA" w:rsidRDefault="00EF12EA" w:rsidP="00716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pct"/>
          </w:tcPr>
          <w:p w:rsidR="00EF12EA" w:rsidRPr="00C257AA" w:rsidRDefault="00EF12EA" w:rsidP="00716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pct"/>
          </w:tcPr>
          <w:p w:rsidR="00EF12EA" w:rsidRPr="00C257AA" w:rsidRDefault="00EF12EA" w:rsidP="00716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12EA" w:rsidRPr="00D66152" w:rsidTr="00F1183D">
        <w:trPr>
          <w:trHeight w:val="379"/>
        </w:trPr>
        <w:tc>
          <w:tcPr>
            <w:tcW w:w="354" w:type="pct"/>
          </w:tcPr>
          <w:p w:rsidR="00EF12EA" w:rsidRPr="00C257AA" w:rsidRDefault="00EF12EA" w:rsidP="00716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pct"/>
          </w:tcPr>
          <w:p w:rsidR="00EF12EA" w:rsidRPr="00C257AA" w:rsidRDefault="00EF12EA" w:rsidP="0071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Щегловское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</w:t>
            </w:r>
          </w:p>
        </w:tc>
        <w:tc>
          <w:tcPr>
            <w:tcW w:w="1521" w:type="pct"/>
          </w:tcPr>
          <w:p w:rsidR="00EF12EA" w:rsidRPr="00C257AA" w:rsidRDefault="00EF12EA" w:rsidP="0071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15 000 000,00</w:t>
            </w:r>
          </w:p>
        </w:tc>
      </w:tr>
      <w:tr w:rsidR="00EF12EA" w:rsidRPr="00201CE4" w:rsidTr="00F1183D">
        <w:tc>
          <w:tcPr>
            <w:tcW w:w="354" w:type="pct"/>
          </w:tcPr>
          <w:p w:rsidR="00EF12EA" w:rsidRPr="00C257AA" w:rsidRDefault="00D84BB0" w:rsidP="00716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5" w:type="pct"/>
          </w:tcPr>
          <w:p w:rsidR="00EF12EA" w:rsidRPr="00C257AA" w:rsidRDefault="00EF12EA" w:rsidP="0071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Новоладожское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</w:t>
            </w:r>
          </w:p>
        </w:tc>
        <w:tc>
          <w:tcPr>
            <w:tcW w:w="1521" w:type="pct"/>
          </w:tcPr>
          <w:p w:rsidR="00EF12EA" w:rsidRPr="00C257AA" w:rsidRDefault="00EF12EA" w:rsidP="0071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6 000 000,00</w:t>
            </w:r>
          </w:p>
        </w:tc>
      </w:tr>
      <w:tr w:rsidR="00EF12EA" w:rsidRPr="00201CE4" w:rsidTr="00F1183D">
        <w:tc>
          <w:tcPr>
            <w:tcW w:w="354" w:type="pct"/>
          </w:tcPr>
          <w:p w:rsidR="00EF12EA" w:rsidRPr="00C257AA" w:rsidRDefault="00D84BB0" w:rsidP="00716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5" w:type="pct"/>
          </w:tcPr>
          <w:p w:rsidR="00EF12EA" w:rsidRPr="00C257AA" w:rsidRDefault="00EF12EA" w:rsidP="0071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Гатчинское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Гатчинского муниципального района</w:t>
            </w:r>
          </w:p>
        </w:tc>
        <w:tc>
          <w:tcPr>
            <w:tcW w:w="1521" w:type="pct"/>
          </w:tcPr>
          <w:p w:rsidR="00EF12EA" w:rsidRPr="00C257AA" w:rsidRDefault="00EF12EA" w:rsidP="00D8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4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 xml:space="preserve"> 724 650,00</w:t>
            </w:r>
          </w:p>
        </w:tc>
      </w:tr>
      <w:tr w:rsidR="00EF12EA" w:rsidRPr="00201CE4" w:rsidTr="00F1183D">
        <w:tc>
          <w:tcPr>
            <w:tcW w:w="354" w:type="pct"/>
          </w:tcPr>
          <w:p w:rsidR="00EF12EA" w:rsidRPr="00C257AA" w:rsidRDefault="00D84BB0" w:rsidP="00716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5" w:type="pct"/>
          </w:tcPr>
          <w:p w:rsidR="00EF12EA" w:rsidRPr="00C257AA" w:rsidRDefault="00EF12EA" w:rsidP="0071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Лебяженское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Ломоносовского муниципального района</w:t>
            </w:r>
          </w:p>
        </w:tc>
        <w:tc>
          <w:tcPr>
            <w:tcW w:w="1521" w:type="pct"/>
          </w:tcPr>
          <w:p w:rsidR="00EF12EA" w:rsidRPr="00C257AA" w:rsidRDefault="00EF12EA" w:rsidP="0071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8 630 470,00</w:t>
            </w:r>
          </w:p>
        </w:tc>
      </w:tr>
      <w:tr w:rsidR="00EF12EA" w:rsidRPr="00201CE4" w:rsidTr="00F1183D">
        <w:tc>
          <w:tcPr>
            <w:tcW w:w="354" w:type="pct"/>
          </w:tcPr>
          <w:p w:rsidR="00EF12EA" w:rsidRPr="00C257AA" w:rsidRDefault="00D84BB0" w:rsidP="00716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5" w:type="pct"/>
          </w:tcPr>
          <w:p w:rsidR="00EF12EA" w:rsidRPr="00C257AA" w:rsidRDefault="00EF12EA" w:rsidP="0071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Громовское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Приозерского муниципального района</w:t>
            </w:r>
          </w:p>
        </w:tc>
        <w:tc>
          <w:tcPr>
            <w:tcW w:w="1521" w:type="pct"/>
          </w:tcPr>
          <w:p w:rsidR="00EF12EA" w:rsidRPr="00C257AA" w:rsidRDefault="00EF12EA" w:rsidP="0071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2 488 719,00</w:t>
            </w:r>
          </w:p>
        </w:tc>
      </w:tr>
      <w:tr w:rsidR="00EF12EA" w:rsidRPr="00201CE4" w:rsidTr="00F1183D">
        <w:tc>
          <w:tcPr>
            <w:tcW w:w="354" w:type="pct"/>
          </w:tcPr>
          <w:p w:rsidR="00EF12EA" w:rsidRPr="00C257AA" w:rsidRDefault="00D84BB0" w:rsidP="00716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5" w:type="pct"/>
          </w:tcPr>
          <w:p w:rsidR="00EF12EA" w:rsidRPr="00C257AA" w:rsidRDefault="00EF12EA" w:rsidP="0071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Тихвинского муниципального района </w:t>
            </w:r>
          </w:p>
        </w:tc>
        <w:tc>
          <w:tcPr>
            <w:tcW w:w="1521" w:type="pct"/>
          </w:tcPr>
          <w:p w:rsidR="00EF12EA" w:rsidRPr="00C257AA" w:rsidRDefault="00EF12EA" w:rsidP="0071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7AA">
              <w:rPr>
                <w:rFonts w:ascii="Times New Roman" w:hAnsi="Times New Roman" w:cs="Times New Roman"/>
                <w:sz w:val="28"/>
                <w:szCs w:val="28"/>
              </w:rPr>
              <w:t>30 000 000,00</w:t>
            </w:r>
          </w:p>
        </w:tc>
      </w:tr>
      <w:tr w:rsidR="00EF12EA" w:rsidRPr="00897B44" w:rsidTr="00F1183D">
        <w:tc>
          <w:tcPr>
            <w:tcW w:w="3479" w:type="pct"/>
            <w:gridSpan w:val="2"/>
          </w:tcPr>
          <w:p w:rsidR="00EF12EA" w:rsidRPr="00C257AA" w:rsidRDefault="00EF12EA" w:rsidP="0071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1" w:type="pct"/>
            <w:vAlign w:val="bottom"/>
          </w:tcPr>
          <w:p w:rsidR="00EF12EA" w:rsidRPr="00C257AA" w:rsidRDefault="00EF12EA" w:rsidP="0071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150 843 839,00</w:t>
            </w:r>
          </w:p>
        </w:tc>
      </w:tr>
    </w:tbl>
    <w:p w:rsidR="00B23E89" w:rsidRDefault="00B23E89" w:rsidP="00D84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23E89" w:rsidSect="00377116">
      <w:pgSz w:w="11906" w:h="16838"/>
      <w:pgMar w:top="568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08" w:rsidRDefault="00024008" w:rsidP="005E7F6F">
      <w:pPr>
        <w:spacing w:after="0" w:line="240" w:lineRule="auto"/>
      </w:pPr>
      <w:r>
        <w:separator/>
      </w:r>
    </w:p>
  </w:endnote>
  <w:endnote w:type="continuationSeparator" w:id="0">
    <w:p w:rsidR="00024008" w:rsidRDefault="00024008" w:rsidP="005E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08" w:rsidRDefault="00024008" w:rsidP="005E7F6F">
      <w:pPr>
        <w:spacing w:after="0" w:line="240" w:lineRule="auto"/>
      </w:pPr>
      <w:r>
        <w:separator/>
      </w:r>
    </w:p>
  </w:footnote>
  <w:footnote w:type="continuationSeparator" w:id="0">
    <w:p w:rsidR="00024008" w:rsidRDefault="00024008" w:rsidP="005E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6497"/>
    <w:multiLevelType w:val="hybridMultilevel"/>
    <w:tmpl w:val="7A9C11EC"/>
    <w:lvl w:ilvl="0" w:tplc="1794117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DD647F"/>
    <w:multiLevelType w:val="hybridMultilevel"/>
    <w:tmpl w:val="900ED2BE"/>
    <w:lvl w:ilvl="0" w:tplc="1BEED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462A2"/>
    <w:multiLevelType w:val="hybridMultilevel"/>
    <w:tmpl w:val="78A253EA"/>
    <w:lvl w:ilvl="0" w:tplc="72440A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5FC34"/>
    <w:rsid w:val="00024008"/>
    <w:rsid w:val="00030996"/>
    <w:rsid w:val="00040E66"/>
    <w:rsid w:val="00041689"/>
    <w:rsid w:val="000711F7"/>
    <w:rsid w:val="000A0674"/>
    <w:rsid w:val="0020701E"/>
    <w:rsid w:val="002A7A7B"/>
    <w:rsid w:val="00321276"/>
    <w:rsid w:val="00337D10"/>
    <w:rsid w:val="00352DD5"/>
    <w:rsid w:val="003564E1"/>
    <w:rsid w:val="00377116"/>
    <w:rsid w:val="00393A69"/>
    <w:rsid w:val="003E74C2"/>
    <w:rsid w:val="00482FBA"/>
    <w:rsid w:val="005238D3"/>
    <w:rsid w:val="0052708C"/>
    <w:rsid w:val="00566266"/>
    <w:rsid w:val="005E7F6F"/>
    <w:rsid w:val="006D767F"/>
    <w:rsid w:val="00846C12"/>
    <w:rsid w:val="0091488F"/>
    <w:rsid w:val="0093484F"/>
    <w:rsid w:val="00987779"/>
    <w:rsid w:val="009B45D3"/>
    <w:rsid w:val="00A13FA7"/>
    <w:rsid w:val="00A4044C"/>
    <w:rsid w:val="00A569E7"/>
    <w:rsid w:val="00A94DE0"/>
    <w:rsid w:val="00B14C19"/>
    <w:rsid w:val="00B23E89"/>
    <w:rsid w:val="00BB34B9"/>
    <w:rsid w:val="00C47B41"/>
    <w:rsid w:val="00CB35E3"/>
    <w:rsid w:val="00CE4D9E"/>
    <w:rsid w:val="00D3093D"/>
    <w:rsid w:val="00D3505F"/>
    <w:rsid w:val="00D81A9B"/>
    <w:rsid w:val="00D84BB0"/>
    <w:rsid w:val="00D938FE"/>
    <w:rsid w:val="00D96043"/>
    <w:rsid w:val="00E21B4F"/>
    <w:rsid w:val="00E35182"/>
    <w:rsid w:val="00E844C3"/>
    <w:rsid w:val="00E90E63"/>
    <w:rsid w:val="00EC69C6"/>
    <w:rsid w:val="00EE324A"/>
    <w:rsid w:val="00EF12EA"/>
    <w:rsid w:val="00EF4911"/>
    <w:rsid w:val="00F1183D"/>
    <w:rsid w:val="00F61E01"/>
    <w:rsid w:val="00FC0181"/>
    <w:rsid w:val="052259CC"/>
    <w:rsid w:val="2557576E"/>
    <w:rsid w:val="4215FC34"/>
    <w:rsid w:val="6B00FC17"/>
    <w:rsid w:val="6E115C03"/>
    <w:rsid w:val="7334EF72"/>
    <w:rsid w:val="77D93EDB"/>
    <w:rsid w:val="7988A2B4"/>
    <w:rsid w:val="7D71B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77D93EDB"/>
    <w:pPr>
      <w:widowControl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basedOn w:val="a"/>
    <w:rsid w:val="77D93EDB"/>
    <w:pPr>
      <w:widowControl w:val="0"/>
      <w:spacing w:after="0"/>
    </w:pPr>
    <w:rPr>
      <w:rFonts w:ascii="Calibri" w:eastAsia="Times New Roman" w:hAnsi="Calibri" w:cs="Calibri"/>
      <w:lang w:eastAsia="ru-RU"/>
    </w:rPr>
  </w:style>
  <w:style w:type="character" w:customStyle="1" w:styleId="normaltextrun1">
    <w:name w:val="normaltextrun1"/>
    <w:basedOn w:val="a0"/>
    <w:rsid w:val="77D93EDB"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E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F6F"/>
  </w:style>
  <w:style w:type="paragraph" w:styleId="a6">
    <w:name w:val="footer"/>
    <w:basedOn w:val="a"/>
    <w:link w:val="a7"/>
    <w:uiPriority w:val="99"/>
    <w:unhideWhenUsed/>
    <w:rsid w:val="005E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F6F"/>
  </w:style>
  <w:style w:type="paragraph" w:styleId="a8">
    <w:name w:val="List Paragraph"/>
    <w:basedOn w:val="a"/>
    <w:uiPriority w:val="34"/>
    <w:qFormat/>
    <w:rsid w:val="00EF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77D93EDB"/>
    <w:pPr>
      <w:widowControl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basedOn w:val="a"/>
    <w:rsid w:val="77D93EDB"/>
    <w:pPr>
      <w:widowControl w:val="0"/>
      <w:spacing w:after="0"/>
    </w:pPr>
    <w:rPr>
      <w:rFonts w:ascii="Calibri" w:eastAsia="Times New Roman" w:hAnsi="Calibri" w:cs="Calibri"/>
      <w:lang w:eastAsia="ru-RU"/>
    </w:rPr>
  </w:style>
  <w:style w:type="character" w:customStyle="1" w:styleId="normaltextrun1">
    <w:name w:val="normaltextrun1"/>
    <w:basedOn w:val="a0"/>
    <w:rsid w:val="77D93EDB"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E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F6F"/>
  </w:style>
  <w:style w:type="paragraph" w:styleId="a6">
    <w:name w:val="footer"/>
    <w:basedOn w:val="a"/>
    <w:link w:val="a7"/>
    <w:uiPriority w:val="99"/>
    <w:unhideWhenUsed/>
    <w:rsid w:val="005E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F6F"/>
  </w:style>
  <w:style w:type="paragraph" w:styleId="a8">
    <w:name w:val="List Paragraph"/>
    <w:basedOn w:val="a"/>
    <w:uiPriority w:val="34"/>
    <w:qFormat/>
    <w:rsid w:val="00EF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Счастливая Роза</dc:creator>
  <cp:lastModifiedBy>Смирнова АА</cp:lastModifiedBy>
  <cp:revision>2</cp:revision>
  <cp:lastPrinted>2024-04-09T05:03:00Z</cp:lastPrinted>
  <dcterms:created xsi:type="dcterms:W3CDTF">2024-04-17T05:54:00Z</dcterms:created>
  <dcterms:modified xsi:type="dcterms:W3CDTF">2024-04-17T05:54:00Z</dcterms:modified>
</cp:coreProperties>
</file>