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576C11" w:rsidRDefault="003147F6" w:rsidP="003147F6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14457" wp14:editId="7787A0E2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4B542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0B207" wp14:editId="3CBA97E0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74AC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72EC" wp14:editId="39758D58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12C3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41D0" wp14:editId="7160A4CC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92BFD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576C11" w:rsidRDefault="00576C11" w:rsidP="00576C1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32"/>
        </w:rPr>
        <w:t xml:space="preserve">О внесении изменений в приказ комитета общего и профессионального </w:t>
      </w:r>
    </w:p>
    <w:p w:rsidR="00576C11" w:rsidRDefault="00576C11" w:rsidP="00576C1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образования Ленинградской области от 26 декабря 2019 года № 63 </w:t>
      </w:r>
    </w:p>
    <w:p w:rsidR="00576C11" w:rsidRDefault="00576C11" w:rsidP="00576C1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«О комиссии по соблюдению требований к служебному поведению </w:t>
      </w:r>
    </w:p>
    <w:p w:rsidR="00576C11" w:rsidRDefault="00576C11" w:rsidP="00576C1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государственных гражданских служащих Ленинградской области</w:t>
      </w:r>
    </w:p>
    <w:p w:rsidR="00576C11" w:rsidRDefault="00576C11" w:rsidP="00576C1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 урегулированию конфликта интересов в комитете общего и профессионального образования Ленинградской области </w:t>
      </w:r>
    </w:p>
    <w:p w:rsidR="003147F6" w:rsidRDefault="00576C11" w:rsidP="00576C11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6C11">
        <w:rPr>
          <w:rFonts w:ascii="Times New Roman" w:hAnsi="Times New Roman" w:cs="Times New Roman"/>
          <w:b/>
          <w:sz w:val="28"/>
          <w:szCs w:val="32"/>
        </w:rPr>
        <w:t>и утверждении положения о порядке ее работы»</w:t>
      </w:r>
    </w:p>
    <w:p w:rsidR="003B19AD" w:rsidRDefault="003B19AD" w:rsidP="003B19AD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 w:rsidRPr="0062623B">
        <w:rPr>
          <w:rFonts w:ascii="Times New Roman" w:hAnsi="Times New Roman" w:cs="Times New Roman"/>
          <w:sz w:val="28"/>
          <w:szCs w:val="32"/>
        </w:rPr>
        <w:t>В</w:t>
      </w:r>
      <w:r>
        <w:rPr>
          <w:rFonts w:ascii="Times New Roman" w:hAnsi="Times New Roman" w:cs="Times New Roman"/>
          <w:sz w:val="28"/>
          <w:szCs w:val="32"/>
        </w:rPr>
        <w:t xml:space="preserve"> целях приведения нормативных правовых актов комитета общего и профессионального образования Ленинградской области в соответствие с действующим законодательством </w:t>
      </w:r>
      <w:r w:rsidRPr="0062623B">
        <w:rPr>
          <w:rFonts w:ascii="Times New Roman" w:hAnsi="Times New Roman" w:cs="Times New Roman"/>
          <w:sz w:val="28"/>
          <w:szCs w:val="32"/>
        </w:rPr>
        <w:t>приказываю:</w:t>
      </w:r>
    </w:p>
    <w:p w:rsidR="003B19AD" w:rsidRDefault="003B19AD" w:rsidP="003B19AD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 Внести </w:t>
      </w:r>
      <w:r w:rsidRPr="003B19AD">
        <w:rPr>
          <w:rFonts w:ascii="Times New Roman" w:hAnsi="Times New Roman" w:cs="Times New Roman"/>
          <w:sz w:val="28"/>
          <w:szCs w:val="32"/>
        </w:rPr>
        <w:t>в приложение 1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области) к приказу</w:t>
      </w:r>
      <w:r>
        <w:rPr>
          <w:rFonts w:ascii="Times New Roman" w:hAnsi="Times New Roman" w:cs="Times New Roman"/>
          <w:sz w:val="28"/>
          <w:szCs w:val="32"/>
        </w:rPr>
        <w:t xml:space="preserve"> комитета общего и профессионального образования Ленинградской области от 26 декабря 2019 года № 63, следующие изменения:</w:t>
      </w:r>
    </w:p>
    <w:p w:rsidR="003B19AD" w:rsidRDefault="003B19AD" w:rsidP="003B19AD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1.1. подпункт «а» пункта 1.3 изложить в следующей редакции:</w:t>
      </w:r>
    </w:p>
    <w:p w:rsidR="003B19AD" w:rsidRDefault="003B19AD" w:rsidP="006D3BA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«а) в обеспечении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гражданскими служащими Ленинградской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Pr="00FB515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и(или) требования об урегулировании конфликта интересов);»;</w:t>
      </w:r>
    </w:p>
    <w:p w:rsidR="003B19AD" w:rsidRDefault="003B19AD" w:rsidP="003B19AD">
      <w:pPr>
        <w:pStyle w:val="ConsPlusNormal"/>
        <w:tabs>
          <w:tab w:val="left" w:pos="851"/>
        </w:tabs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1.2. пункт 2.1 дополнить </w:t>
      </w:r>
      <w:r w:rsidRPr="006D3BA9">
        <w:rPr>
          <w:rFonts w:ascii="Times New Roman" w:hAnsi="Times New Roman" w:cs="Times New Roman"/>
          <w:sz w:val="28"/>
          <w:szCs w:val="32"/>
        </w:rPr>
        <w:t>подп</w:t>
      </w:r>
      <w:r>
        <w:rPr>
          <w:rFonts w:ascii="Times New Roman" w:hAnsi="Times New Roman" w:cs="Times New Roman"/>
          <w:sz w:val="28"/>
          <w:szCs w:val="32"/>
        </w:rPr>
        <w:t>унктом «е» следующего содержания</w:t>
      </w:r>
      <w:r w:rsidRPr="0062623B">
        <w:rPr>
          <w:rFonts w:ascii="Times New Roman" w:hAnsi="Times New Roman" w:cs="Times New Roman"/>
          <w:sz w:val="28"/>
          <w:szCs w:val="32"/>
        </w:rPr>
        <w:t>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«е)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поступившее в соответствии с </w:t>
      </w:r>
      <w:hyperlink r:id="rId9" w:history="1">
        <w:r w:rsidRPr="00FB5153">
          <w:rPr>
            <w:rFonts w:ascii="Times New Roman" w:eastAsia="Calibri" w:hAnsi="Times New Roman" w:cs="Times New Roman"/>
            <w:sz w:val="28"/>
            <w:szCs w:val="28"/>
          </w:rPr>
          <w:t>частью 6 статьи 13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и(или) требований об урегулировании конфликта интересов.»;</w:t>
      </w:r>
    </w:p>
    <w:p w:rsidR="003B19AD" w:rsidRDefault="003B19AD" w:rsidP="00854CB5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1.3. пункт 2.5.1 изложить в следующей редакции: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«2.5.1</w:t>
      </w:r>
      <w:r w:rsidRPr="0062623B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Уведомления, </w:t>
      </w:r>
      <w:r>
        <w:rPr>
          <w:rFonts w:ascii="Times New Roman" w:eastAsia="Calibri" w:hAnsi="Times New Roman" w:cs="Times New Roman"/>
          <w:sz w:val="28"/>
          <w:szCs w:val="28"/>
        </w:rPr>
        <w:t>указанные в абзаце пятом подпункта «б» и в подпункте «е»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уведомлений.»;</w:t>
      </w:r>
    </w:p>
    <w:p w:rsidR="003B19AD" w:rsidRPr="0062623B" w:rsidRDefault="003B19AD" w:rsidP="00854CB5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1.4. в пункте 2.5.2 слова «подпункте «д» пункта 2.1» заменить словами «подпунктах «д» и «е» пункта 2.1»;</w:t>
      </w:r>
    </w:p>
    <w:p w:rsidR="003B19AD" w:rsidRDefault="003B19AD" w:rsidP="00854CB5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1.5. в пункте 2.5.3: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в подпункте «а» </w:t>
      </w:r>
      <w:r>
        <w:rPr>
          <w:rFonts w:ascii="Times New Roman" w:eastAsia="Calibri" w:hAnsi="Times New Roman" w:cs="Times New Roman"/>
          <w:sz w:val="28"/>
          <w:szCs w:val="28"/>
        </w:rPr>
        <w:t>слова «подпункте «д» пункта 2.1» заменить словами «подпунктах «д» и «е» пункта 2.1»;</w:t>
      </w:r>
    </w:p>
    <w:p w:rsidR="003B19AD" w:rsidRDefault="003B19AD" w:rsidP="00854CB5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подпункт «в» изложить в следующей редакции: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втором, пятом подпункта «б» и подпунктах «д» и «е» пункта 2.1 настоящего Положения, а также рекомендации для принятия одного из решений в соответствии с пунктами 7.3, 7.4.2, 7.4.4, 7.4.5 настоящего Положения или иного решения.»;</w:t>
      </w:r>
    </w:p>
    <w:p w:rsidR="003B19AD" w:rsidRDefault="003B19AD" w:rsidP="00854CB5">
      <w:pPr>
        <w:pStyle w:val="ConsPlusNormal"/>
        <w:spacing w:after="120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1.6. пункт 2.7 изложить в следующей редакции: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«2.7. Уведомления, указанные в подпунктах «д» и «е» пункта 2.1 настоящего Положения, рассматриваются на очередном (плановом) заседании комиссии.»;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1.7</w:t>
      </w:r>
      <w:r w:rsidRPr="0062623B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54CB5">
        <w:rPr>
          <w:rFonts w:ascii="Times New Roman" w:eastAsia="Calibri" w:hAnsi="Times New Roman" w:cs="Times New Roman"/>
          <w:sz w:val="28"/>
          <w:szCs w:val="28"/>
        </w:rPr>
        <w:t xml:space="preserve">абзаце втором </w:t>
      </w:r>
      <w:hyperlink r:id="rId10" w:history="1">
        <w:r w:rsidRPr="00854CB5">
          <w:rPr>
            <w:rFonts w:ascii="Times New Roman" w:eastAsia="Calibri" w:hAnsi="Times New Roman" w:cs="Times New Roman"/>
            <w:sz w:val="28"/>
            <w:szCs w:val="28"/>
          </w:rPr>
          <w:t>пункта 6.3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слова «подпунктом «б» пункта 2.1» заменить словами «подпунктами «б» и «е» пункта 2.1»;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1.8</w:t>
      </w:r>
      <w:r w:rsidRPr="0062623B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 в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</w:rPr>
          <w:t>подпункте «а» пункта 6.3.</w:t>
        </w:r>
        <w:r w:rsidRPr="0015373A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15373A">
        <w:rPr>
          <w:rFonts w:ascii="Times New Roman" w:eastAsia="Calibri" w:hAnsi="Times New Roman" w:cs="Times New Roman"/>
          <w:sz w:val="28"/>
          <w:szCs w:val="28"/>
        </w:rPr>
        <w:t xml:space="preserve"> сло</w:t>
      </w:r>
      <w:r>
        <w:rPr>
          <w:rFonts w:ascii="Times New Roman" w:eastAsia="Calibri" w:hAnsi="Times New Roman" w:cs="Times New Roman"/>
          <w:sz w:val="28"/>
          <w:szCs w:val="28"/>
        </w:rPr>
        <w:t>ва «подпунктом «б» пункта 2.1» заменить словами «подпунктами «б» и «е» пункта 2.1»;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hyperlink r:id="rId12" w:history="1">
        <w:r w:rsidRPr="000F7E5C">
          <w:rPr>
            <w:rFonts w:ascii="Times New Roman" w:eastAsia="Calibri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пунктом 7.4.5 следующего содержания: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«7.4.5. По итогам рассмотрения вопроса, указанного в подпункте «е» пункта 2.1 настоящего Положения, комиссия принимает одно из следующих решений:</w:t>
      </w:r>
    </w:p>
    <w:p w:rsidR="003B19AD" w:rsidRDefault="003B19AD" w:rsidP="002222B1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интересов;</w:t>
      </w:r>
      <w:bookmarkStart w:id="0" w:name="_GoBack"/>
      <w:bookmarkEnd w:id="0"/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интересов.»;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1.10. </w:t>
      </w:r>
      <w:hyperlink r:id="rId13" w:history="1">
        <w:r w:rsidRPr="007704C8">
          <w:rPr>
            <w:rFonts w:ascii="Times New Roman" w:eastAsia="Calibri" w:hAnsi="Times New Roman" w:cs="Times New Roman"/>
            <w:sz w:val="28"/>
            <w:szCs w:val="28"/>
          </w:rPr>
          <w:t>пункт 7.5</w:t>
        </w:r>
      </w:hyperlink>
      <w:r w:rsidRPr="007704C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зложить в следующей редакции: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«7.5. По итогам рассмотрения вопросов, предусмотренных подпунктами «а», «б», «г», «д» и «е» пункта 2.1 настоящего Положения, при наличии к тому оснований комиссия может принять иное решение, чем предусмотрено пунктами 7.1 - 7.4.5 настоящего Положения.</w:t>
      </w:r>
    </w:p>
    <w:p w:rsidR="003B19AD" w:rsidRDefault="003B19AD" w:rsidP="00854CB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комиссии.».</w:t>
      </w:r>
    </w:p>
    <w:p w:rsidR="003B19AD" w:rsidRPr="00672DD4" w:rsidRDefault="003B19AD" w:rsidP="00854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72DD4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B19AD" w:rsidRPr="00672DD4" w:rsidRDefault="003B19AD" w:rsidP="00854C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9AD" w:rsidRDefault="003B19AD" w:rsidP="003B19A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3B19AD" w:rsidRPr="0062623B" w:rsidRDefault="003B19AD" w:rsidP="003B19AD">
      <w:pPr>
        <w:pStyle w:val="10"/>
        <w:shd w:val="clear" w:color="auto" w:fill="auto"/>
        <w:spacing w:before="0" w:after="120" w:line="240" w:lineRule="auto"/>
        <w:outlineLvl w:val="9"/>
        <w:rPr>
          <w:rFonts w:ascii="Times New Roman" w:hAnsi="Times New Roman"/>
          <w:b w:val="0"/>
          <w:spacing w:val="0"/>
          <w:szCs w:val="32"/>
        </w:rPr>
      </w:pPr>
      <w:r w:rsidRPr="0062623B">
        <w:rPr>
          <w:rFonts w:ascii="Times New Roman" w:hAnsi="Times New Roman"/>
          <w:b w:val="0"/>
          <w:spacing w:val="0"/>
          <w:szCs w:val="32"/>
        </w:rPr>
        <w:t>Председатель комитета                                                                В.И. Реброва</w:t>
      </w:r>
    </w:p>
    <w:p w:rsidR="003B19AD" w:rsidRPr="0062623B" w:rsidRDefault="003B19AD" w:rsidP="003B19A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</w:p>
    <w:p w:rsidR="00576C11" w:rsidRDefault="00576C11" w:rsidP="00576C11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76C11" w:rsidRPr="00576C11" w:rsidRDefault="00576C11" w:rsidP="00576C11">
      <w:pPr>
        <w:tabs>
          <w:tab w:val="left" w:pos="1395"/>
        </w:tabs>
        <w:jc w:val="center"/>
        <w:rPr>
          <w:rFonts w:ascii="Times New Roman" w:hAnsi="Times New Roman" w:cs="Times New Roman"/>
          <w:b/>
        </w:rPr>
      </w:pPr>
    </w:p>
    <w:sectPr w:rsidR="00576C11" w:rsidRPr="00576C11" w:rsidSect="0062669F">
      <w:footerReference w:type="default" r:id="rId14"/>
      <w:footerReference w:type="first" r:id="rId15"/>
      <w:pgSz w:w="11906" w:h="16838"/>
      <w:pgMar w:top="851" w:right="851" w:bottom="851" w:left="1134" w:header="709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2C" w:rsidRDefault="0022282C" w:rsidP="00780D32">
      <w:pPr>
        <w:spacing w:after="0" w:line="240" w:lineRule="auto"/>
      </w:pPr>
      <w:r>
        <w:separator/>
      </w:r>
    </w:p>
  </w:endnote>
  <w:endnote w:type="continuationSeparator" w:id="0">
    <w:p w:rsidR="0022282C" w:rsidRDefault="0022282C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32" w:rsidRDefault="00780D32" w:rsidP="00780D3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9F" w:rsidRDefault="0062669F" w:rsidP="0062669F">
    <w:pPr>
      <w:pStyle w:val="a7"/>
    </w:pPr>
  </w:p>
  <w:tbl>
    <w:tblPr>
      <w:tblStyle w:val="a9"/>
      <w:tblW w:w="5245" w:type="dxa"/>
      <w:tblInd w:w="5353" w:type="dxa"/>
      <w:tblLook w:val="04A0" w:firstRow="1" w:lastRow="0" w:firstColumn="1" w:lastColumn="0" w:noHBand="0" w:noVBand="1"/>
    </w:tblPr>
    <w:tblGrid>
      <w:gridCol w:w="3260"/>
      <w:gridCol w:w="1985"/>
    </w:tblGrid>
    <w:tr w:rsidR="0062669F" w:rsidTr="001410B4">
      <w:tc>
        <w:tcPr>
          <w:tcW w:w="3260" w:type="dxa"/>
        </w:tcPr>
        <w:p w:rsidR="0062669F" w:rsidRPr="00CA1E72" w:rsidRDefault="0062669F" w:rsidP="0062669F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62669F" w:rsidRPr="00780D32" w:rsidRDefault="0062669F" w:rsidP="0062669F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62669F" w:rsidTr="001410B4">
      <w:trPr>
        <w:trHeight w:val="486"/>
      </w:trPr>
      <w:tc>
        <w:tcPr>
          <w:tcW w:w="3260" w:type="dxa"/>
        </w:tcPr>
        <w:p w:rsidR="0062669F" w:rsidRPr="00CA1E72" w:rsidRDefault="0062669F" w:rsidP="0062669F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62669F" w:rsidRPr="00780D32" w:rsidRDefault="0062669F" w:rsidP="0062669F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62669F" w:rsidRDefault="00626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2C" w:rsidRDefault="0022282C" w:rsidP="00780D32">
      <w:pPr>
        <w:spacing w:after="0" w:line="240" w:lineRule="auto"/>
      </w:pPr>
      <w:r>
        <w:separator/>
      </w:r>
    </w:p>
  </w:footnote>
  <w:footnote w:type="continuationSeparator" w:id="0">
    <w:p w:rsidR="0022282C" w:rsidRDefault="0022282C" w:rsidP="0078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D75F0"/>
    <w:rsid w:val="002222B1"/>
    <w:rsid w:val="0022282C"/>
    <w:rsid w:val="00227EA1"/>
    <w:rsid w:val="002C2A86"/>
    <w:rsid w:val="003147F6"/>
    <w:rsid w:val="003B19AD"/>
    <w:rsid w:val="003C0022"/>
    <w:rsid w:val="00420020"/>
    <w:rsid w:val="00552F67"/>
    <w:rsid w:val="00576C11"/>
    <w:rsid w:val="0062669F"/>
    <w:rsid w:val="006D3BA9"/>
    <w:rsid w:val="007152F9"/>
    <w:rsid w:val="007346BF"/>
    <w:rsid w:val="00780D32"/>
    <w:rsid w:val="00854CB5"/>
    <w:rsid w:val="00867191"/>
    <w:rsid w:val="00BD47B8"/>
    <w:rsid w:val="00C160B0"/>
    <w:rsid w:val="00DB1FA4"/>
    <w:rsid w:val="00F323F7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78F92-2F7C-4506-9E50-2079A60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6C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B19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rsid w:val="003B19AD"/>
    <w:rPr>
      <w:b/>
      <w:bCs/>
      <w:spacing w:val="-1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B19AD"/>
    <w:pPr>
      <w:widowControl w:val="0"/>
      <w:shd w:val="clear" w:color="auto" w:fill="FFFFFF"/>
      <w:spacing w:before="780" w:after="240" w:line="0" w:lineRule="atLeast"/>
      <w:jc w:val="center"/>
      <w:outlineLvl w:val="0"/>
    </w:pPr>
    <w:rPr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SPB&amp;n=258970&amp;dst=100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SPB&amp;n=258970&amp;dst=1000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58970&amp;dst=10026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SPB&amp;n=258970&amp;dst=10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ED22-BE32-4FF0-82A3-062252D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Орлова Ольга Стефановна</cp:lastModifiedBy>
  <cp:revision>9</cp:revision>
  <cp:lastPrinted>2024-05-29T12:56:00Z</cp:lastPrinted>
  <dcterms:created xsi:type="dcterms:W3CDTF">2024-07-11T09:07:00Z</dcterms:created>
  <dcterms:modified xsi:type="dcterms:W3CDTF">2024-07-11T09:41:00Z</dcterms:modified>
</cp:coreProperties>
</file>