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F8" w:rsidRDefault="006B73F8" w:rsidP="006B73F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КОМИТЕТ ФИНАНСОВ ЛЕНИНГРАДСКОЙ ОБЛАСТИ</w:t>
      </w:r>
    </w:p>
    <w:p w:rsidR="006B73F8" w:rsidRDefault="006B73F8" w:rsidP="006B73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B73F8" w:rsidRDefault="006B73F8" w:rsidP="006B73F8">
      <w:pPr>
        <w:pStyle w:val="ConsPlusTitle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</w:t>
      </w:r>
    </w:p>
    <w:p w:rsidR="006B73F8" w:rsidRDefault="006B73F8" w:rsidP="006B73F8">
      <w:pPr>
        <w:pStyle w:val="ConsPlusTitle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6"/>
          <w:szCs w:val="26"/>
        </w:rPr>
      </w:pPr>
    </w:p>
    <w:p w:rsidR="00F813ED" w:rsidRDefault="00F813ED" w:rsidP="006B73F8">
      <w:pPr>
        <w:pStyle w:val="ConsPlusTitle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6"/>
          <w:szCs w:val="26"/>
        </w:rPr>
      </w:pPr>
    </w:p>
    <w:p w:rsidR="00F813ED" w:rsidRDefault="00F813ED" w:rsidP="006B73F8">
      <w:pPr>
        <w:pStyle w:val="ConsPlusTitle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6"/>
          <w:szCs w:val="26"/>
        </w:rPr>
      </w:pPr>
    </w:p>
    <w:p w:rsidR="006B73F8" w:rsidRPr="00861511" w:rsidRDefault="006B73F8" w:rsidP="006B73F8">
      <w:pPr>
        <w:pStyle w:val="ConsPlusTitle"/>
        <w:pBdr>
          <w:bottom w:val="single" w:sz="4" w:space="1" w:color="auto"/>
        </w:pBd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B73F8" w:rsidRDefault="006B73F8" w:rsidP="006B73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813ED" w:rsidRDefault="00F813ED" w:rsidP="006B73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813ED" w:rsidRDefault="00F813ED" w:rsidP="006B73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813ED" w:rsidRDefault="00F813ED" w:rsidP="006B73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B73F8" w:rsidRPr="006B73F8" w:rsidRDefault="006B73F8" w:rsidP="006B73F8">
      <w:pPr>
        <w:spacing w:after="0" w:line="257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О</w:t>
      </w:r>
      <w:r w:rsidRPr="006B73F8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внесении изменений в </w:t>
      </w:r>
      <w:r w:rsidR="00D63D94">
        <w:rPr>
          <w:rFonts w:ascii="Times New Roman" w:eastAsiaTheme="minorHAnsi" w:hAnsi="Times New Roman"/>
          <w:b/>
          <w:sz w:val="28"/>
          <w:szCs w:val="28"/>
          <w:lang w:eastAsia="en-US"/>
        </w:rPr>
        <w:t>п</w:t>
      </w:r>
      <w:r w:rsidR="00D63D94" w:rsidRPr="00D63D94">
        <w:rPr>
          <w:rFonts w:ascii="Times New Roman" w:eastAsiaTheme="minorHAnsi" w:hAnsi="Times New Roman"/>
          <w:b/>
          <w:sz w:val="28"/>
          <w:szCs w:val="28"/>
          <w:lang w:eastAsia="en-US"/>
        </w:rPr>
        <w:t>риказ комитета фин</w:t>
      </w:r>
      <w:r w:rsidR="00D63D9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ансов Ленинградской области от </w:t>
      </w:r>
      <w:r w:rsidR="00D63D94" w:rsidRPr="00D63D94">
        <w:rPr>
          <w:rFonts w:ascii="Times New Roman" w:eastAsiaTheme="minorHAnsi" w:hAnsi="Times New Roman"/>
          <w:b/>
          <w:sz w:val="28"/>
          <w:szCs w:val="28"/>
          <w:lang w:eastAsia="en-US"/>
        </w:rPr>
        <w:t>2</w:t>
      </w:r>
      <w:r w:rsidR="00D63D9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февраля </w:t>
      </w:r>
      <w:r w:rsidR="00D63D94" w:rsidRPr="00D63D94">
        <w:rPr>
          <w:rFonts w:ascii="Times New Roman" w:eastAsiaTheme="minorHAnsi" w:hAnsi="Times New Roman"/>
          <w:b/>
          <w:sz w:val="28"/>
          <w:szCs w:val="28"/>
          <w:lang w:eastAsia="en-US"/>
        </w:rPr>
        <w:t>2022</w:t>
      </w:r>
      <w:r w:rsidR="00D63D9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года №</w:t>
      </w:r>
      <w:r w:rsidR="00D63D94" w:rsidRPr="00D63D9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18-02/20-06 "О порядке осуществления оценки качества управления муниципальными финансами в Ленинградской области"</w:t>
      </w:r>
    </w:p>
    <w:p w:rsidR="00927793" w:rsidRDefault="00927793" w:rsidP="006B73F8">
      <w:pPr>
        <w:spacing w:after="0" w:line="257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813ED" w:rsidRDefault="00F813ED" w:rsidP="006B73F8">
      <w:pPr>
        <w:spacing w:after="0" w:line="257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813ED" w:rsidRPr="00705694" w:rsidRDefault="00F813ED" w:rsidP="006B73F8">
      <w:pPr>
        <w:spacing w:after="0" w:line="257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6B73F8" w:rsidRDefault="006B73F8" w:rsidP="006B7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6B73F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целях </w:t>
      </w:r>
      <w:proofErr w:type="gramStart"/>
      <w:r w:rsidRPr="006B73F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совершенствования </w:t>
      </w:r>
      <w:r w:rsidR="00D63D94" w:rsidRPr="00D63D94">
        <w:rPr>
          <w:rFonts w:ascii="Times New Roman" w:eastAsiaTheme="minorHAnsi" w:hAnsi="Times New Roman"/>
          <w:bCs/>
          <w:sz w:val="28"/>
          <w:szCs w:val="28"/>
          <w:lang w:eastAsia="en-US"/>
        </w:rPr>
        <w:t>порядк</w:t>
      </w:r>
      <w:r w:rsidR="00D63D94">
        <w:rPr>
          <w:rFonts w:ascii="Times New Roman" w:eastAsiaTheme="minorHAnsi" w:hAnsi="Times New Roman"/>
          <w:bCs/>
          <w:sz w:val="28"/>
          <w:szCs w:val="28"/>
          <w:lang w:eastAsia="en-US"/>
        </w:rPr>
        <w:t>а</w:t>
      </w:r>
      <w:r w:rsidR="00D63D94" w:rsidRPr="00D63D9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осуществления </w:t>
      </w:r>
      <w:r w:rsidRPr="006B73F8">
        <w:rPr>
          <w:rFonts w:ascii="Times New Roman" w:eastAsiaTheme="minorHAnsi" w:hAnsi="Times New Roman"/>
          <w:bCs/>
          <w:sz w:val="28"/>
          <w:szCs w:val="28"/>
          <w:lang w:eastAsia="en-US"/>
        </w:rPr>
        <w:t>оценки качества управления</w:t>
      </w:r>
      <w:proofErr w:type="gramEnd"/>
      <w:r w:rsidRPr="006B73F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муниципальными финансами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2A725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</w:t>
      </w:r>
      <w:r w:rsidR="002A7250" w:rsidRPr="002A7250">
        <w:rPr>
          <w:rFonts w:ascii="Times New Roman" w:eastAsiaTheme="minorHAnsi" w:hAnsi="Times New Roman"/>
          <w:bCs/>
          <w:sz w:val="28"/>
          <w:szCs w:val="28"/>
          <w:lang w:eastAsia="en-US"/>
        </w:rPr>
        <w:t>Ленинградской области</w:t>
      </w:r>
      <w:r w:rsidR="002A725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705694">
        <w:rPr>
          <w:rFonts w:ascii="Times New Roman" w:eastAsiaTheme="minorHAnsi" w:hAnsi="Times New Roman"/>
          <w:bCs/>
          <w:sz w:val="28"/>
          <w:szCs w:val="28"/>
          <w:lang w:eastAsia="en-US"/>
        </w:rPr>
        <w:t>приказываю:</w:t>
      </w:r>
    </w:p>
    <w:p w:rsidR="006B73F8" w:rsidRDefault="006B73F8" w:rsidP="00262606">
      <w:pPr>
        <w:pStyle w:val="a3"/>
        <w:numPr>
          <w:ilvl w:val="0"/>
          <w:numId w:val="3"/>
        </w:numPr>
        <w:ind w:left="0" w:firstLine="567"/>
        <w:jc w:val="both"/>
      </w:pPr>
      <w:r>
        <w:t xml:space="preserve">Внести в </w:t>
      </w:r>
      <w:r w:rsidR="00D63D94">
        <w:t>По</w:t>
      </w:r>
      <w:r w:rsidR="00D63D94" w:rsidRPr="00D63D94">
        <w:t>ряд</w:t>
      </w:r>
      <w:r w:rsidR="00D63D94">
        <w:t>о</w:t>
      </w:r>
      <w:r w:rsidR="00D63D94" w:rsidRPr="00D63D94">
        <w:t>к осуществления оценки качества управления муниципальными финансами в Ленинградской области</w:t>
      </w:r>
      <w:r>
        <w:t>, утвержденн</w:t>
      </w:r>
      <w:r w:rsidR="00501409">
        <w:t>ый</w:t>
      </w:r>
      <w:r>
        <w:t xml:space="preserve"> приказом комитета финансов Ленинградской области </w:t>
      </w:r>
      <w:r w:rsidR="00D63D94" w:rsidRPr="00D63D94">
        <w:t>от 2 февраля 2022 года № 18-02/20-06</w:t>
      </w:r>
      <w:r>
        <w:t>,</w:t>
      </w:r>
      <w:r w:rsidR="00957359">
        <w:t xml:space="preserve"> </w:t>
      </w:r>
      <w:r>
        <w:t>следующие изменения:</w:t>
      </w:r>
    </w:p>
    <w:p w:rsidR="00C03981" w:rsidRDefault="00C03981" w:rsidP="00A473F5">
      <w:pPr>
        <w:pStyle w:val="a3"/>
        <w:numPr>
          <w:ilvl w:val="1"/>
          <w:numId w:val="5"/>
        </w:numPr>
        <w:ind w:left="0" w:firstLine="567"/>
        <w:jc w:val="both"/>
      </w:pPr>
      <w:r>
        <w:t>В пункт</w:t>
      </w:r>
      <w:r w:rsidR="0066552F">
        <w:t>ах</w:t>
      </w:r>
      <w:r>
        <w:t xml:space="preserve"> 4</w:t>
      </w:r>
      <w:r w:rsidR="00A473F5">
        <w:t xml:space="preserve"> и</w:t>
      </w:r>
      <w:r w:rsidR="0066552F">
        <w:t xml:space="preserve"> 12, абзаце </w:t>
      </w:r>
      <w:r w:rsidR="00613DC6">
        <w:t>третьем</w:t>
      </w:r>
      <w:r w:rsidR="0066552F">
        <w:t xml:space="preserve"> пункта 14, абзаце </w:t>
      </w:r>
      <w:r w:rsidR="00613DC6">
        <w:t>втором</w:t>
      </w:r>
      <w:r w:rsidR="0066552F">
        <w:t xml:space="preserve"> пункта 16, абзаце </w:t>
      </w:r>
      <w:r w:rsidR="00613DC6">
        <w:t>третьем</w:t>
      </w:r>
      <w:r w:rsidR="0066552F">
        <w:t xml:space="preserve"> пункта 17</w:t>
      </w:r>
      <w:r>
        <w:t xml:space="preserve"> слова «</w:t>
      </w:r>
      <w:r w:rsidRPr="00C03981">
        <w:t>(городского округа)</w:t>
      </w:r>
      <w:r>
        <w:t>» заменить словами «</w:t>
      </w:r>
      <w:r w:rsidRPr="00C03981">
        <w:t>(</w:t>
      </w:r>
      <w:r w:rsidR="0030788D" w:rsidRPr="0030788D">
        <w:t>муниципальн</w:t>
      </w:r>
      <w:r w:rsidR="00E00761">
        <w:t>ых</w:t>
      </w:r>
      <w:r w:rsidR="0030788D" w:rsidRPr="0030788D">
        <w:t xml:space="preserve"> округ</w:t>
      </w:r>
      <w:r w:rsidR="00E00761">
        <w:t>ов</w:t>
      </w:r>
      <w:r w:rsidR="0030788D" w:rsidRPr="0030788D">
        <w:t>, городск</w:t>
      </w:r>
      <w:r w:rsidR="00E00761">
        <w:t>их</w:t>
      </w:r>
      <w:r w:rsidR="0030788D" w:rsidRPr="0030788D">
        <w:t xml:space="preserve"> округ</w:t>
      </w:r>
      <w:r w:rsidR="00E00761">
        <w:t>ов</w:t>
      </w:r>
      <w:r w:rsidRPr="00C03981">
        <w:t>)</w:t>
      </w:r>
      <w:r w:rsidR="0066552F">
        <w:t>»;</w:t>
      </w:r>
    </w:p>
    <w:p w:rsidR="0066552F" w:rsidRDefault="0066552F" w:rsidP="00A473F5">
      <w:pPr>
        <w:pStyle w:val="a3"/>
        <w:numPr>
          <w:ilvl w:val="1"/>
          <w:numId w:val="5"/>
        </w:numPr>
        <w:ind w:left="0" w:firstLine="567"/>
        <w:jc w:val="both"/>
      </w:pPr>
      <w:r>
        <w:t xml:space="preserve">В пункте 5 слова «и </w:t>
      </w:r>
      <w:r w:rsidRPr="00C03981">
        <w:t>городского округа</w:t>
      </w:r>
      <w:r>
        <w:t>» заменить словами «</w:t>
      </w:r>
      <w:r w:rsidR="004C3B62">
        <w:t>(</w:t>
      </w:r>
      <w:r w:rsidRPr="0030788D">
        <w:t>муниципальн</w:t>
      </w:r>
      <w:r w:rsidR="00E00761">
        <w:t>ых</w:t>
      </w:r>
      <w:r w:rsidRPr="0030788D">
        <w:t xml:space="preserve"> округ</w:t>
      </w:r>
      <w:r w:rsidR="00E00761">
        <w:t>ов</w:t>
      </w:r>
      <w:r w:rsidRPr="0030788D">
        <w:t>, городск</w:t>
      </w:r>
      <w:r w:rsidR="00E00761">
        <w:t>их</w:t>
      </w:r>
      <w:r w:rsidRPr="0030788D">
        <w:t xml:space="preserve"> округ</w:t>
      </w:r>
      <w:r w:rsidR="00E00761">
        <w:t>ов</w:t>
      </w:r>
      <w:r w:rsidR="004C3B62">
        <w:t>)</w:t>
      </w:r>
      <w:r>
        <w:t>»;</w:t>
      </w:r>
    </w:p>
    <w:p w:rsidR="00911EA2" w:rsidRPr="00E158BF" w:rsidRDefault="00911EA2" w:rsidP="00911EA2">
      <w:pPr>
        <w:pStyle w:val="a3"/>
        <w:numPr>
          <w:ilvl w:val="1"/>
          <w:numId w:val="5"/>
        </w:numPr>
        <w:ind w:left="0" w:firstLine="567"/>
        <w:jc w:val="both"/>
      </w:pPr>
      <w:r>
        <w:rPr>
          <w:szCs w:val="28"/>
        </w:rPr>
        <w:t xml:space="preserve">В приложении 1 </w:t>
      </w:r>
      <w:r w:rsidRPr="00262606">
        <w:rPr>
          <w:szCs w:val="28"/>
        </w:rPr>
        <w:t xml:space="preserve">к Порядку </w:t>
      </w:r>
      <w:r>
        <w:rPr>
          <w:szCs w:val="28"/>
        </w:rPr>
        <w:t>(</w:t>
      </w:r>
      <w:r w:rsidRPr="00501409">
        <w:rPr>
          <w:szCs w:val="28"/>
        </w:rPr>
        <w:t>Индикаторы качества управления муниципальными финансами в Ленинградской области</w:t>
      </w:r>
      <w:r>
        <w:rPr>
          <w:szCs w:val="28"/>
        </w:rPr>
        <w:t>):</w:t>
      </w:r>
    </w:p>
    <w:p w:rsidR="00E158BF" w:rsidRPr="00C11C9A" w:rsidRDefault="00E158BF" w:rsidP="00E158BF">
      <w:pPr>
        <w:pStyle w:val="a3"/>
        <w:ind w:left="567"/>
        <w:jc w:val="both"/>
      </w:pPr>
      <w:r>
        <w:rPr>
          <w:szCs w:val="28"/>
        </w:rPr>
        <w:t xml:space="preserve">В таблице </w:t>
      </w:r>
      <w:r w:rsidR="005D08F3">
        <w:rPr>
          <w:szCs w:val="28"/>
        </w:rPr>
        <w:t xml:space="preserve">добавить </w:t>
      </w:r>
      <w:r>
        <w:rPr>
          <w:szCs w:val="28"/>
        </w:rPr>
        <w:t>строк</w:t>
      </w:r>
      <w:r w:rsidR="00942A03">
        <w:rPr>
          <w:szCs w:val="28"/>
        </w:rPr>
        <w:t>у</w:t>
      </w:r>
    </w:p>
    <w:tbl>
      <w:tblPr>
        <w:tblW w:w="10436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"/>
        <w:gridCol w:w="624"/>
        <w:gridCol w:w="2324"/>
        <w:gridCol w:w="2784"/>
        <w:gridCol w:w="1928"/>
        <w:gridCol w:w="2246"/>
        <w:gridCol w:w="285"/>
      </w:tblGrid>
      <w:tr w:rsidR="00E158BF" w:rsidRPr="00942A03" w:rsidTr="00E158BF"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158BF" w:rsidRPr="00942A03" w:rsidRDefault="00E158BF" w:rsidP="00B529A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A0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E158BF" w:rsidRPr="00942A03" w:rsidRDefault="003845DB" w:rsidP="003845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3.23.</w:t>
            </w:r>
          </w:p>
        </w:tc>
        <w:tc>
          <w:tcPr>
            <w:tcW w:w="2324" w:type="dxa"/>
          </w:tcPr>
          <w:p w:rsidR="00E158BF" w:rsidRPr="00942A03" w:rsidRDefault="005D08F3" w:rsidP="00BB3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доли закупок малого объема через размещение в </w:t>
            </w:r>
            <w:proofErr w:type="spellStart"/>
            <w:r w:rsidR="00D919F7" w:rsidRPr="00942A03">
              <w:rPr>
                <w:rFonts w:ascii="Times New Roman" w:hAnsi="Times New Roman" w:cs="Times New Roman"/>
                <w:sz w:val="24"/>
                <w:szCs w:val="24"/>
              </w:rPr>
              <w:t>агрегаторе</w:t>
            </w:r>
            <w:proofErr w:type="spellEnd"/>
            <w:r w:rsidR="00D919F7" w:rsidRPr="00942A03">
              <w:rPr>
                <w:rFonts w:ascii="Times New Roman" w:hAnsi="Times New Roman" w:cs="Times New Roman"/>
                <w:sz w:val="24"/>
                <w:szCs w:val="24"/>
              </w:rPr>
              <w:t xml:space="preserve"> торговли Ленинградской области "Электронный магазин Ленинградской области"</w:t>
            </w: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4" w:type="dxa"/>
          </w:tcPr>
          <w:p w:rsidR="00C03981" w:rsidRPr="00942A03" w:rsidRDefault="00C03981" w:rsidP="00C03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V = A</w:t>
            </w:r>
          </w:p>
          <w:p w:rsidR="00E158BF" w:rsidRPr="00942A03" w:rsidRDefault="00C03981" w:rsidP="00C03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 xml:space="preserve">A - доля закупок малого объема через размещение в </w:t>
            </w:r>
            <w:proofErr w:type="spellStart"/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агрегаторе</w:t>
            </w:r>
            <w:proofErr w:type="spellEnd"/>
            <w:r w:rsidRPr="00942A03">
              <w:rPr>
                <w:rFonts w:ascii="Times New Roman" w:hAnsi="Times New Roman" w:cs="Times New Roman"/>
                <w:sz w:val="24"/>
                <w:szCs w:val="24"/>
              </w:rPr>
              <w:t xml:space="preserve"> торговли </w:t>
            </w:r>
            <w:r w:rsidR="00D919F7" w:rsidRPr="00942A03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 "Электронный магазин Ленинградской области"</w:t>
            </w:r>
          </w:p>
        </w:tc>
        <w:tc>
          <w:tcPr>
            <w:tcW w:w="1928" w:type="dxa"/>
          </w:tcPr>
          <w:p w:rsidR="00E158BF" w:rsidRPr="00942A03" w:rsidRDefault="00C03981" w:rsidP="00B52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Информация, имеющаяся в распоряжении комитета финансов Ленинградской области</w:t>
            </w:r>
          </w:p>
        </w:tc>
        <w:tc>
          <w:tcPr>
            <w:tcW w:w="2246" w:type="dxa"/>
            <w:tcBorders>
              <w:right w:val="single" w:sz="4" w:space="0" w:color="auto"/>
            </w:tcBorders>
          </w:tcPr>
          <w:p w:rsidR="00E158BF" w:rsidRPr="00942A03" w:rsidRDefault="00C03981" w:rsidP="00B52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Департамент отраслевого финансирования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158BF" w:rsidRPr="00942A03" w:rsidRDefault="00942A03" w:rsidP="00B529A2">
            <w:pPr>
              <w:rPr>
                <w:rFonts w:ascii="Times New Roman" w:hAnsi="Times New Roman"/>
              </w:rPr>
            </w:pPr>
            <w:r w:rsidRPr="00942A0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</w:tbl>
    <w:p w:rsidR="00766E5D" w:rsidRDefault="00766E5D" w:rsidP="00766E5D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 xml:space="preserve">В таблице строки: </w:t>
      </w:r>
    </w:p>
    <w:tbl>
      <w:tblPr>
        <w:tblW w:w="10436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"/>
        <w:gridCol w:w="624"/>
        <w:gridCol w:w="2324"/>
        <w:gridCol w:w="2784"/>
        <w:gridCol w:w="1928"/>
        <w:gridCol w:w="2246"/>
        <w:gridCol w:w="285"/>
      </w:tblGrid>
      <w:tr w:rsidR="00766E5D" w:rsidRPr="00542D6E" w:rsidTr="0066602F"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6E5D" w:rsidRPr="00542D6E" w:rsidRDefault="00766E5D" w:rsidP="006660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42D6E">
              <w:rPr>
                <w:sz w:val="28"/>
                <w:szCs w:val="28"/>
              </w:rPr>
              <w:lastRenderedPageBreak/>
              <w:t>"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766E5D" w:rsidRPr="00942A03" w:rsidRDefault="00766E5D" w:rsidP="00666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324" w:type="dxa"/>
          </w:tcPr>
          <w:p w:rsidR="00766E5D" w:rsidRPr="00942A03" w:rsidRDefault="00766E5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Отсутствие превышения прогнозных показателей налоговых и неналоговых доходов бюджета муниципального образования над фактическим исполнением более чем на 10 процентов 2 года подряд</w:t>
            </w:r>
          </w:p>
        </w:tc>
        <w:tc>
          <w:tcPr>
            <w:tcW w:w="2784" w:type="dxa"/>
          </w:tcPr>
          <w:p w:rsidR="00766E5D" w:rsidRPr="00942A03" w:rsidRDefault="00766E5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Vn</w:t>
            </w:r>
            <w:proofErr w:type="spellEnd"/>
            <w:r w:rsidRPr="0094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An / </w:t>
            </w:r>
            <w:proofErr w:type="spellStart"/>
            <w:r w:rsidRPr="0094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Bn</w:t>
            </w:r>
            <w:proofErr w:type="spellEnd"/>
            <w:r w:rsidRPr="0094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100</w:t>
            </w:r>
          </w:p>
          <w:p w:rsidR="00766E5D" w:rsidRPr="00942A03" w:rsidRDefault="00766E5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Vn-1 = An-1 / Bn-1 x 100,</w:t>
            </w:r>
          </w:p>
          <w:p w:rsidR="00766E5D" w:rsidRPr="00942A03" w:rsidRDefault="00766E5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 xml:space="preserve">при условии, что </w:t>
            </w:r>
            <w:proofErr w:type="spellStart"/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Vn</w:t>
            </w:r>
            <w:proofErr w:type="spellEnd"/>
            <w:r w:rsidRPr="0094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или) Vn-1 &lt;= 110%</w:t>
            </w:r>
          </w:p>
          <w:p w:rsidR="00766E5D" w:rsidRPr="00942A03" w:rsidRDefault="00766E5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A - объем налоговых и неналоговых доходов по принятому бюджету муниципального образования с учетом изменений;</w:t>
            </w:r>
          </w:p>
          <w:p w:rsidR="00766E5D" w:rsidRPr="00942A03" w:rsidRDefault="00766E5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B - фактически поступивший объем налоговых и неналоговых доходов муниципального образования;</w:t>
            </w:r>
          </w:p>
          <w:p w:rsidR="00766E5D" w:rsidRPr="00942A03" w:rsidRDefault="00766E5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n - отчетный финансовый год;</w:t>
            </w:r>
          </w:p>
          <w:p w:rsidR="00766E5D" w:rsidRPr="00942A03" w:rsidRDefault="00766E5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n-1 - год, предшествующий отчетному финансовому году</w:t>
            </w:r>
          </w:p>
        </w:tc>
        <w:tc>
          <w:tcPr>
            <w:tcW w:w="1928" w:type="dxa"/>
          </w:tcPr>
          <w:p w:rsidR="00766E5D" w:rsidRPr="00942A03" w:rsidRDefault="00766E5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Данные годового отчета об исполнении бюджета муниципального образования</w:t>
            </w:r>
          </w:p>
        </w:tc>
        <w:tc>
          <w:tcPr>
            <w:tcW w:w="2246" w:type="dxa"/>
            <w:tcBorders>
              <w:right w:val="single" w:sz="4" w:space="0" w:color="auto"/>
            </w:tcBorders>
          </w:tcPr>
          <w:p w:rsidR="00766E5D" w:rsidRPr="00942A03" w:rsidRDefault="00766E5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Отдел межбюджетных отношений департамента бюджетной политики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66E5D" w:rsidRPr="00542D6E" w:rsidRDefault="00766E5D" w:rsidP="0066602F"/>
        </w:tc>
      </w:tr>
      <w:tr w:rsidR="00766E5D" w:rsidRPr="00542D6E" w:rsidTr="0066602F"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6E5D" w:rsidRPr="00542D6E" w:rsidRDefault="00766E5D" w:rsidP="006660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766E5D" w:rsidRPr="00942A03" w:rsidRDefault="00766E5D" w:rsidP="00666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2324" w:type="dxa"/>
          </w:tcPr>
          <w:p w:rsidR="00766E5D" w:rsidRPr="00942A03" w:rsidRDefault="00766E5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утвержденного объема расходов бюджета муниципального образования </w:t>
            </w:r>
            <w:proofErr w:type="gramStart"/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год от объема расходов соответствующего года при его утверждении на первый год планового периода в году</w:t>
            </w:r>
            <w:proofErr w:type="gramEnd"/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, предшествующем отчетному финансовому году &lt;6&gt;</w:t>
            </w:r>
          </w:p>
        </w:tc>
        <w:tc>
          <w:tcPr>
            <w:tcW w:w="2784" w:type="dxa"/>
          </w:tcPr>
          <w:p w:rsidR="00766E5D" w:rsidRPr="00942A03" w:rsidRDefault="00766E5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V = |A - B| / B x 100,</w:t>
            </w:r>
          </w:p>
          <w:p w:rsidR="00766E5D" w:rsidRPr="00942A03" w:rsidRDefault="00766E5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 xml:space="preserve">A - объем расходов бюджета муниципального образования (за исключением расходов, осуществляемых за счет межбюджетных трансфертов, поступающих из других бюджетов бюджетной системы Российской Федерации, </w:t>
            </w:r>
            <w:proofErr w:type="gramStart"/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или) поступлений налоговых доходов по дополнительным нормативам отчислений), первоначально утвержденный на очередной финансовый год в отчетном финансовом году;</w:t>
            </w:r>
          </w:p>
          <w:p w:rsidR="00766E5D" w:rsidRPr="00942A03" w:rsidRDefault="00766E5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 xml:space="preserve">B - объем расходов бюджета муниципального образования (за исключением расходов, осуществляемых за счет межбюджетных трансфертов, </w:t>
            </w:r>
            <w:r w:rsidRPr="00942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поступающих из других бюджетов бюджетной системы Российской Федерации, </w:t>
            </w:r>
            <w:proofErr w:type="gramStart"/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или) поступлений налоговых доходов по дополнительным нормативам отчислений), первоначально утвержденный на первый год планового периода в году, предшествующем отчетному финансовому году</w:t>
            </w:r>
          </w:p>
        </w:tc>
        <w:tc>
          <w:tcPr>
            <w:tcW w:w="1928" w:type="dxa"/>
          </w:tcPr>
          <w:p w:rsidR="00766E5D" w:rsidRPr="00942A03" w:rsidRDefault="00766E5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Информация, представляемая муниципальными образованиями</w:t>
            </w:r>
          </w:p>
        </w:tc>
        <w:tc>
          <w:tcPr>
            <w:tcW w:w="2246" w:type="dxa"/>
            <w:tcBorders>
              <w:right w:val="single" w:sz="4" w:space="0" w:color="auto"/>
            </w:tcBorders>
          </w:tcPr>
          <w:p w:rsidR="00766E5D" w:rsidRPr="00942A03" w:rsidRDefault="00766E5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Отдел межбюджетных отношений департамента бюджетной политики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66E5D" w:rsidRPr="00EB2028" w:rsidRDefault="00766E5D" w:rsidP="0066602F"/>
        </w:tc>
      </w:tr>
      <w:tr w:rsidR="00766E5D" w:rsidRPr="00542D6E" w:rsidTr="0066602F"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6E5D" w:rsidRPr="00542D6E" w:rsidRDefault="00766E5D" w:rsidP="006660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766E5D" w:rsidRPr="00942A03" w:rsidRDefault="00766E5D" w:rsidP="00666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2324" w:type="dxa"/>
          </w:tcPr>
          <w:p w:rsidR="00766E5D" w:rsidRPr="00942A03" w:rsidRDefault="00766E5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Динамика задолженности по арендным платежам</w:t>
            </w:r>
          </w:p>
        </w:tc>
        <w:tc>
          <w:tcPr>
            <w:tcW w:w="2784" w:type="dxa"/>
          </w:tcPr>
          <w:p w:rsidR="00766E5D" w:rsidRPr="00942A03" w:rsidRDefault="00766E5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= An / An-1 x 100,</w:t>
            </w:r>
          </w:p>
          <w:p w:rsidR="00766E5D" w:rsidRPr="00942A03" w:rsidRDefault="00766E5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Pr="0094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94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 &gt; 0 An-1 = 0, </w:t>
            </w: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94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 = 100,1,</w:t>
            </w:r>
          </w:p>
          <w:p w:rsidR="00766E5D" w:rsidRPr="00942A03" w:rsidRDefault="00766E5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A - объем просроченной дебиторской задолженности по доходам бюджета муниципального образования, получаемым в виде арендной либо иной платы за передачу в возмездное пользование муниципального имущества (за исключением имущества бюджетных и автономных учреждений, а также имущества муниципальных унитарных предприятий, в том числе казенных) на начало года, следующего за отчетным годом;</w:t>
            </w:r>
          </w:p>
          <w:p w:rsidR="00766E5D" w:rsidRPr="00942A03" w:rsidRDefault="00766E5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n - отчетный финансовый год;</w:t>
            </w:r>
          </w:p>
          <w:p w:rsidR="00766E5D" w:rsidRPr="00942A03" w:rsidRDefault="00766E5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n-1 - год, предшествующий отчетному финансовому году</w:t>
            </w:r>
          </w:p>
        </w:tc>
        <w:tc>
          <w:tcPr>
            <w:tcW w:w="1928" w:type="dxa"/>
          </w:tcPr>
          <w:p w:rsidR="00766E5D" w:rsidRPr="00942A03" w:rsidRDefault="00766E5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Данные сведений по дебиторской и кредиторской задолженности</w:t>
            </w:r>
          </w:p>
        </w:tc>
        <w:tc>
          <w:tcPr>
            <w:tcW w:w="2246" w:type="dxa"/>
            <w:tcBorders>
              <w:right w:val="single" w:sz="4" w:space="0" w:color="auto"/>
            </w:tcBorders>
          </w:tcPr>
          <w:p w:rsidR="00766E5D" w:rsidRPr="00942A03" w:rsidRDefault="00766E5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Отдел анализа и прогнозирования доходов департамента бюджетной политики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66E5D" w:rsidRPr="00EB2028" w:rsidRDefault="00766E5D" w:rsidP="0066602F"/>
        </w:tc>
      </w:tr>
      <w:tr w:rsidR="00766E5D" w:rsidRPr="00542D6E" w:rsidTr="0066602F"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6E5D" w:rsidRPr="00542D6E" w:rsidRDefault="00766E5D" w:rsidP="006660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766E5D" w:rsidRPr="00942A03" w:rsidRDefault="00766E5D" w:rsidP="00666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2324" w:type="dxa"/>
          </w:tcPr>
          <w:p w:rsidR="00766E5D" w:rsidRPr="00942A03" w:rsidRDefault="00766E5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Среднедушевые собственные доходы не уменьшаются 2 года подряд</w:t>
            </w:r>
          </w:p>
        </w:tc>
        <w:tc>
          <w:tcPr>
            <w:tcW w:w="2784" w:type="dxa"/>
          </w:tcPr>
          <w:p w:rsidR="00766E5D" w:rsidRPr="00942A03" w:rsidRDefault="00766E5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Vn</w:t>
            </w:r>
            <w:proofErr w:type="spellEnd"/>
            <w:r w:rsidRPr="0094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(An / </w:t>
            </w:r>
            <w:proofErr w:type="spellStart"/>
            <w:r w:rsidRPr="0094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Bn</w:t>
            </w:r>
            <w:proofErr w:type="spellEnd"/>
            <w:r w:rsidRPr="0094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/ (An-1 / Bn-1) x 100</w:t>
            </w:r>
          </w:p>
          <w:p w:rsidR="00766E5D" w:rsidRPr="00942A03" w:rsidRDefault="00766E5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 xml:space="preserve">Vn-1 = (An-1 / Bn-1) / (An-2 / Bn-2) x 100, при условии, что </w:t>
            </w:r>
            <w:proofErr w:type="spellStart"/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Vn</w:t>
            </w:r>
            <w:proofErr w:type="spellEnd"/>
            <w:r w:rsidRPr="0094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или) Vn-1 &gt;= 100;</w:t>
            </w:r>
          </w:p>
          <w:p w:rsidR="00766E5D" w:rsidRPr="00942A03" w:rsidRDefault="00766E5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</w:t>
            </w:r>
            <w:proofErr w:type="spellEnd"/>
            <w:r w:rsidRPr="00942A03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фактически поступившие доходы муниципального образования, за исключением субвенций;</w:t>
            </w:r>
          </w:p>
          <w:p w:rsidR="00766E5D" w:rsidRPr="00942A03" w:rsidRDefault="00766E5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B - численность населения муниципального образования;</w:t>
            </w:r>
          </w:p>
          <w:p w:rsidR="00766E5D" w:rsidRPr="00942A03" w:rsidRDefault="00766E5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n - отчетный финансовый год;</w:t>
            </w:r>
          </w:p>
          <w:p w:rsidR="00766E5D" w:rsidRPr="00942A03" w:rsidRDefault="00766E5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 xml:space="preserve">n-1 - год, предшествующий </w:t>
            </w:r>
            <w:proofErr w:type="gramStart"/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  <w:p w:rsidR="00766E5D" w:rsidRPr="00942A03" w:rsidRDefault="00766E5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финансовому году;</w:t>
            </w:r>
          </w:p>
          <w:p w:rsidR="00766E5D" w:rsidRPr="00942A03" w:rsidRDefault="00766E5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n-2 - второй год, предшествующий отчетному финансовому году</w:t>
            </w:r>
          </w:p>
        </w:tc>
        <w:tc>
          <w:tcPr>
            <w:tcW w:w="1928" w:type="dxa"/>
          </w:tcPr>
          <w:p w:rsidR="00766E5D" w:rsidRPr="00942A03" w:rsidRDefault="00766E5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годового отчета об исполнении бюджета муниципального образования</w:t>
            </w:r>
          </w:p>
        </w:tc>
        <w:tc>
          <w:tcPr>
            <w:tcW w:w="2246" w:type="dxa"/>
            <w:tcBorders>
              <w:right w:val="single" w:sz="4" w:space="0" w:color="auto"/>
            </w:tcBorders>
          </w:tcPr>
          <w:p w:rsidR="00766E5D" w:rsidRPr="00942A03" w:rsidRDefault="00766E5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Отдел межбюджетных отношений департамента бюджетной политики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66E5D" w:rsidRPr="00EB2028" w:rsidRDefault="00766E5D" w:rsidP="0066602F"/>
        </w:tc>
      </w:tr>
      <w:tr w:rsidR="00766E5D" w:rsidRPr="00542D6E" w:rsidTr="0066602F"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6E5D" w:rsidRPr="00542D6E" w:rsidRDefault="00766E5D" w:rsidP="006660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766E5D" w:rsidRPr="00942A03" w:rsidRDefault="00766E5D" w:rsidP="00666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3.19.</w:t>
            </w:r>
          </w:p>
        </w:tc>
        <w:tc>
          <w:tcPr>
            <w:tcW w:w="2324" w:type="dxa"/>
          </w:tcPr>
          <w:p w:rsidR="00766E5D" w:rsidRPr="00942A03" w:rsidRDefault="00766E5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Отсутствие объема средств, подлежащего возврату в областной бюджет Ленинградской области в случае недостижения результатов использования субсидий, предоставленных из областного бюджета Ленинградской области</w:t>
            </w:r>
          </w:p>
        </w:tc>
        <w:tc>
          <w:tcPr>
            <w:tcW w:w="2784" w:type="dxa"/>
          </w:tcPr>
          <w:p w:rsidR="00766E5D" w:rsidRPr="00942A03" w:rsidRDefault="00766E5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Start"/>
            <w:r w:rsidRPr="00942A03">
              <w:rPr>
                <w:rFonts w:ascii="Times New Roman" w:hAnsi="Times New Roman" w:cs="Times New Roman"/>
                <w:sz w:val="24"/>
                <w:szCs w:val="24"/>
              </w:rPr>
              <w:t xml:space="preserve"> = А</w:t>
            </w:r>
            <w:proofErr w:type="gramEnd"/>
          </w:p>
          <w:p w:rsidR="00766E5D" w:rsidRPr="00942A03" w:rsidRDefault="00766E5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А - объем средств, подлежащий возврату в областной бюджет в случае недостижения муниципальным образованием результатов использования субсидий</w:t>
            </w:r>
          </w:p>
        </w:tc>
        <w:tc>
          <w:tcPr>
            <w:tcW w:w="1928" w:type="dxa"/>
          </w:tcPr>
          <w:p w:rsidR="00766E5D" w:rsidRPr="00942A03" w:rsidRDefault="00766E5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Информация, имеющаяся в распоряжении комитета финансов Ленинградской области</w:t>
            </w:r>
          </w:p>
        </w:tc>
        <w:tc>
          <w:tcPr>
            <w:tcW w:w="2246" w:type="dxa"/>
            <w:tcBorders>
              <w:right w:val="single" w:sz="4" w:space="0" w:color="auto"/>
            </w:tcBorders>
          </w:tcPr>
          <w:p w:rsidR="00766E5D" w:rsidRPr="00942A03" w:rsidRDefault="00766E5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Отдел межбюджетных отношений департамента бюджетной политики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66E5D" w:rsidRPr="00EB2028" w:rsidRDefault="00766E5D" w:rsidP="0066602F"/>
        </w:tc>
      </w:tr>
      <w:tr w:rsidR="001B2BC5" w:rsidRPr="00542D6E" w:rsidTr="0066602F"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2BC5" w:rsidRPr="00542D6E" w:rsidRDefault="001B2BC5" w:rsidP="006660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1B2BC5" w:rsidRPr="001B2BC5" w:rsidRDefault="001B2BC5" w:rsidP="001B1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C5">
              <w:rPr>
                <w:rFonts w:ascii="Times New Roman" w:hAnsi="Times New Roman" w:cs="Times New Roman"/>
                <w:sz w:val="24"/>
                <w:szCs w:val="24"/>
              </w:rPr>
              <w:t>3.20.</w:t>
            </w:r>
          </w:p>
        </w:tc>
        <w:tc>
          <w:tcPr>
            <w:tcW w:w="2324" w:type="dxa"/>
          </w:tcPr>
          <w:p w:rsidR="001B2BC5" w:rsidRPr="001B2BC5" w:rsidRDefault="001B2BC5" w:rsidP="001B1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BC5">
              <w:rPr>
                <w:rFonts w:ascii="Times New Roman" w:hAnsi="Times New Roman" w:cs="Times New Roman"/>
                <w:sz w:val="24"/>
                <w:szCs w:val="24"/>
              </w:rPr>
              <w:t>Сокращение общего объема вложений в объекты незавершенного, финансовое обеспечение которых приостановлено (прекращено)</w:t>
            </w:r>
          </w:p>
        </w:tc>
        <w:tc>
          <w:tcPr>
            <w:tcW w:w="2784" w:type="dxa"/>
          </w:tcPr>
          <w:p w:rsidR="001B2BC5" w:rsidRPr="001B2BC5" w:rsidRDefault="001B2BC5" w:rsidP="001B1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BC5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25B08165" wp14:editId="7F60BA35">
                  <wp:extent cx="1257300" cy="2057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BC5" w:rsidRPr="001B2BC5" w:rsidRDefault="001B2BC5" w:rsidP="001B1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BC5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1B2BC5" w:rsidRPr="001B2BC5" w:rsidRDefault="001B2BC5" w:rsidP="001B1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BC5">
              <w:rPr>
                <w:rFonts w:ascii="Times New Roman" w:hAnsi="Times New Roman" w:cs="Times New Roman"/>
                <w:sz w:val="24"/>
                <w:szCs w:val="24"/>
              </w:rPr>
              <w:t>A - объем вложений в объекты незавершенного строительства, финансовое обеспечение которых приостановлено (прекращено);</w:t>
            </w:r>
          </w:p>
          <w:p w:rsidR="001B2BC5" w:rsidRPr="001B2BC5" w:rsidRDefault="001B2BC5" w:rsidP="001B1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BC5">
              <w:rPr>
                <w:rFonts w:ascii="Times New Roman" w:hAnsi="Times New Roman" w:cs="Times New Roman"/>
                <w:sz w:val="24"/>
                <w:szCs w:val="24"/>
              </w:rPr>
              <w:t>n - отчетный финансовый год;</w:t>
            </w:r>
          </w:p>
          <w:p w:rsidR="001B2BC5" w:rsidRPr="001B2BC5" w:rsidRDefault="001B2BC5" w:rsidP="001B1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BC5">
              <w:rPr>
                <w:rFonts w:ascii="Times New Roman" w:hAnsi="Times New Roman" w:cs="Times New Roman"/>
                <w:sz w:val="24"/>
                <w:szCs w:val="24"/>
              </w:rPr>
              <w:t>n-1 - год, предшествующий отчетному финансовому году</w:t>
            </w:r>
          </w:p>
        </w:tc>
        <w:tc>
          <w:tcPr>
            <w:tcW w:w="1928" w:type="dxa"/>
          </w:tcPr>
          <w:p w:rsidR="001B2BC5" w:rsidRPr="001B2BC5" w:rsidRDefault="001B2BC5" w:rsidP="001B1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BC5">
              <w:rPr>
                <w:rFonts w:ascii="Times New Roman" w:hAnsi="Times New Roman" w:cs="Times New Roman"/>
                <w:sz w:val="24"/>
                <w:szCs w:val="24"/>
              </w:rPr>
              <w:t>Данные сведений об объектах незавершенного строительства, вложениях в объекты недвижимого имущества</w:t>
            </w:r>
          </w:p>
        </w:tc>
        <w:tc>
          <w:tcPr>
            <w:tcW w:w="2246" w:type="dxa"/>
            <w:tcBorders>
              <w:right w:val="single" w:sz="4" w:space="0" w:color="auto"/>
            </w:tcBorders>
          </w:tcPr>
          <w:p w:rsidR="001B2BC5" w:rsidRPr="001B2BC5" w:rsidRDefault="001B2BC5" w:rsidP="001B1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BC5">
              <w:rPr>
                <w:rFonts w:ascii="Times New Roman" w:hAnsi="Times New Roman" w:cs="Times New Roman"/>
                <w:sz w:val="24"/>
                <w:szCs w:val="24"/>
              </w:rPr>
              <w:t>Департамент отраслевого финансирования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2BC5" w:rsidRPr="00EB2028" w:rsidRDefault="001B2BC5" w:rsidP="0066602F">
            <w:r w:rsidRPr="00EB2028">
              <w:t>"</w:t>
            </w:r>
          </w:p>
        </w:tc>
      </w:tr>
    </w:tbl>
    <w:p w:rsidR="00766E5D" w:rsidRPr="00275F4F" w:rsidRDefault="00766E5D" w:rsidP="00766E5D">
      <w:pPr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75F4F">
        <w:rPr>
          <w:rFonts w:ascii="Times New Roman" w:eastAsiaTheme="minorHAnsi" w:hAnsi="Times New Roman" w:cstheme="minorBidi"/>
          <w:sz w:val="28"/>
          <w:szCs w:val="28"/>
          <w:lang w:eastAsia="en-US"/>
        </w:rPr>
        <w:t>изложить в следующей редакции:</w:t>
      </w:r>
    </w:p>
    <w:tbl>
      <w:tblPr>
        <w:tblW w:w="10436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"/>
        <w:gridCol w:w="624"/>
        <w:gridCol w:w="2324"/>
        <w:gridCol w:w="2784"/>
        <w:gridCol w:w="1928"/>
        <w:gridCol w:w="2246"/>
        <w:gridCol w:w="285"/>
      </w:tblGrid>
      <w:tr w:rsidR="002B1EBD" w:rsidRPr="00542D6E" w:rsidTr="0066602F"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1EBD" w:rsidRPr="00542D6E" w:rsidRDefault="002B1EBD" w:rsidP="006660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42D6E">
              <w:rPr>
                <w:sz w:val="28"/>
                <w:szCs w:val="28"/>
              </w:rPr>
              <w:lastRenderedPageBreak/>
              <w:t>"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2B1EBD" w:rsidRPr="00942A03" w:rsidRDefault="002B1EBD" w:rsidP="00666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324" w:type="dxa"/>
          </w:tcPr>
          <w:p w:rsidR="002B1EBD" w:rsidRPr="00942A03" w:rsidRDefault="002B1EB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Отсутствие превышения прогнозных показателей налоговых и неналоговых доходов бюджета муниципального образования над фактическим исполнением более чем на 10 процентов 2 года подряд</w:t>
            </w:r>
            <w:r w:rsidR="00942A03" w:rsidRPr="00942A03">
              <w:rPr>
                <w:rFonts w:ascii="Times New Roman" w:hAnsi="Times New Roman" w:cs="Times New Roman"/>
                <w:sz w:val="24"/>
                <w:szCs w:val="24"/>
              </w:rPr>
              <w:t>&lt;21&gt;</w:t>
            </w:r>
          </w:p>
        </w:tc>
        <w:tc>
          <w:tcPr>
            <w:tcW w:w="2784" w:type="dxa"/>
          </w:tcPr>
          <w:p w:rsidR="002B1EBD" w:rsidRPr="00942A03" w:rsidRDefault="002B1EB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Vn</w:t>
            </w:r>
            <w:proofErr w:type="spellEnd"/>
            <w:r w:rsidRPr="0094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An / </w:t>
            </w:r>
            <w:proofErr w:type="spellStart"/>
            <w:r w:rsidRPr="0094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Bn</w:t>
            </w:r>
            <w:proofErr w:type="spellEnd"/>
            <w:r w:rsidRPr="0094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100</w:t>
            </w:r>
          </w:p>
          <w:p w:rsidR="002B1EBD" w:rsidRPr="00942A03" w:rsidRDefault="002B1EB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Vn-1 = An-1 / Bn-1 x 100,</w:t>
            </w:r>
          </w:p>
          <w:p w:rsidR="002B1EBD" w:rsidRPr="00942A03" w:rsidRDefault="002B1EB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 xml:space="preserve">при условии, что </w:t>
            </w:r>
            <w:proofErr w:type="spellStart"/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Vn</w:t>
            </w:r>
            <w:proofErr w:type="spellEnd"/>
            <w:r w:rsidRPr="0094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или) Vn-1 &lt;= 110%</w:t>
            </w:r>
          </w:p>
          <w:p w:rsidR="002B1EBD" w:rsidRPr="00942A03" w:rsidRDefault="002B1EB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A - объем налоговых и неналоговых доходов по принятому бюджету муниципального образования с учетом изменений;</w:t>
            </w:r>
          </w:p>
          <w:p w:rsidR="002B1EBD" w:rsidRPr="00942A03" w:rsidRDefault="002B1EB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B - фактически поступивший объем налоговых и неналоговых доходов муниципального образования;</w:t>
            </w:r>
          </w:p>
          <w:p w:rsidR="002B1EBD" w:rsidRPr="00942A03" w:rsidRDefault="002B1EB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n - отчетный финансовый год;</w:t>
            </w:r>
          </w:p>
          <w:p w:rsidR="002B1EBD" w:rsidRPr="00942A03" w:rsidRDefault="002B1EB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n-1 - год, предшествующий отчетному финансовому году</w:t>
            </w:r>
          </w:p>
        </w:tc>
        <w:tc>
          <w:tcPr>
            <w:tcW w:w="1928" w:type="dxa"/>
          </w:tcPr>
          <w:p w:rsidR="002B1EBD" w:rsidRPr="00942A03" w:rsidRDefault="002B1EB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Данные годового отчета об исполнении бюджета муниципального образования</w:t>
            </w:r>
          </w:p>
        </w:tc>
        <w:tc>
          <w:tcPr>
            <w:tcW w:w="2246" w:type="dxa"/>
            <w:tcBorders>
              <w:right w:val="single" w:sz="4" w:space="0" w:color="auto"/>
            </w:tcBorders>
          </w:tcPr>
          <w:p w:rsidR="002B1EBD" w:rsidRPr="00942A03" w:rsidRDefault="002B1EB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Отдел межбюджетных отношений департамента бюджетной политики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B1EBD" w:rsidRPr="00542D6E" w:rsidRDefault="002B1EBD" w:rsidP="0066602F"/>
        </w:tc>
      </w:tr>
      <w:tr w:rsidR="002B1EBD" w:rsidRPr="00542D6E" w:rsidTr="0066602F"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1EBD" w:rsidRPr="00542D6E" w:rsidRDefault="002B1EBD" w:rsidP="006660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2B1EBD" w:rsidRPr="00942A03" w:rsidRDefault="002B1EBD" w:rsidP="00666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2324" w:type="dxa"/>
          </w:tcPr>
          <w:p w:rsidR="002B1EBD" w:rsidRPr="00942A03" w:rsidRDefault="002B1EB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утвержденного объема расходов бюджета муниципального образования </w:t>
            </w:r>
            <w:proofErr w:type="gramStart"/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год от объема расходов соответствующего года при его утверждении на первый год планового периода в году</w:t>
            </w:r>
            <w:proofErr w:type="gramEnd"/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, предшествующем отчетному финансовому году &lt;6&gt;</w:t>
            </w:r>
            <w:r w:rsidR="00942A03" w:rsidRPr="00942A03">
              <w:rPr>
                <w:rFonts w:ascii="Times New Roman" w:hAnsi="Times New Roman" w:cs="Times New Roman"/>
                <w:sz w:val="24"/>
                <w:szCs w:val="24"/>
              </w:rPr>
              <w:t>&lt;21&gt;</w:t>
            </w:r>
          </w:p>
        </w:tc>
        <w:tc>
          <w:tcPr>
            <w:tcW w:w="2784" w:type="dxa"/>
          </w:tcPr>
          <w:p w:rsidR="002B1EBD" w:rsidRPr="00942A03" w:rsidRDefault="002B1EB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V = |A - B| / B x 100,</w:t>
            </w:r>
          </w:p>
          <w:p w:rsidR="002B1EBD" w:rsidRPr="00942A03" w:rsidRDefault="002B1EB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 xml:space="preserve">A - объем расходов бюджета муниципального образования (за исключением расходов, осуществляемых за счет межбюджетных трансфертов, поступающих из других бюджетов бюджетной системы Российской Федерации, </w:t>
            </w:r>
            <w:proofErr w:type="gramStart"/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или) поступлений налоговых доходов по дополнительным нормативам отчислений), первоначально утвержденный на очередной финансовый год в отчетном финансовом году;</w:t>
            </w:r>
          </w:p>
          <w:p w:rsidR="002B1EBD" w:rsidRPr="00942A03" w:rsidRDefault="002B1EB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 xml:space="preserve">B - объем расходов бюджета муниципального образования (за исключением расходов, осуществляемых за счет межбюджетных трансфертов, </w:t>
            </w:r>
            <w:r w:rsidRPr="00942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поступающих из других бюджетов бюджетной системы Российской Федерации, </w:t>
            </w:r>
            <w:proofErr w:type="gramStart"/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или) поступлений налоговых доходов по дополнительным нормативам отчислений), первоначально утвержденный на первый год планового периода в году, предшествующем отчетному финансовому году</w:t>
            </w:r>
          </w:p>
        </w:tc>
        <w:tc>
          <w:tcPr>
            <w:tcW w:w="1928" w:type="dxa"/>
          </w:tcPr>
          <w:p w:rsidR="002B1EBD" w:rsidRPr="00942A03" w:rsidRDefault="002B1EB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Информация, представляемая муниципальными образованиями</w:t>
            </w:r>
          </w:p>
        </w:tc>
        <w:tc>
          <w:tcPr>
            <w:tcW w:w="2246" w:type="dxa"/>
            <w:tcBorders>
              <w:right w:val="single" w:sz="4" w:space="0" w:color="auto"/>
            </w:tcBorders>
          </w:tcPr>
          <w:p w:rsidR="002B1EBD" w:rsidRPr="00942A03" w:rsidRDefault="002B1EB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Отдел межбюджетных отношений департамента бюджетной политики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B1EBD" w:rsidRPr="00EB2028" w:rsidRDefault="002B1EBD" w:rsidP="0066602F"/>
        </w:tc>
      </w:tr>
      <w:tr w:rsidR="002B1EBD" w:rsidRPr="00542D6E" w:rsidTr="0066602F"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1EBD" w:rsidRPr="00542D6E" w:rsidRDefault="002B1EBD" w:rsidP="006660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2B1EBD" w:rsidRPr="00942A03" w:rsidRDefault="002B1EBD" w:rsidP="00666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2324" w:type="dxa"/>
          </w:tcPr>
          <w:p w:rsidR="002B1EBD" w:rsidRPr="00942A03" w:rsidRDefault="002B1EB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Динамика задолженности по арендным платежам</w:t>
            </w:r>
            <w:r w:rsidR="00942A03" w:rsidRPr="00942A03">
              <w:rPr>
                <w:rFonts w:ascii="Times New Roman" w:hAnsi="Times New Roman" w:cs="Times New Roman"/>
                <w:sz w:val="24"/>
                <w:szCs w:val="24"/>
              </w:rPr>
              <w:t>&lt;21&gt;</w:t>
            </w:r>
          </w:p>
        </w:tc>
        <w:tc>
          <w:tcPr>
            <w:tcW w:w="2784" w:type="dxa"/>
          </w:tcPr>
          <w:p w:rsidR="002B1EBD" w:rsidRPr="00942A03" w:rsidRDefault="002B1EB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= An / An-1 x 100,</w:t>
            </w:r>
          </w:p>
          <w:p w:rsidR="002B1EBD" w:rsidRPr="00942A03" w:rsidRDefault="002B1EB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Pr="0094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94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 &gt; 0 An-1 = 0, </w:t>
            </w: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94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 = 100,1,</w:t>
            </w:r>
          </w:p>
          <w:p w:rsidR="002B1EBD" w:rsidRPr="00942A03" w:rsidRDefault="002B1EB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A - объем просроченной дебиторской задолженности по доходам бюджета муниципального образования, получаемым в виде арендной либо иной платы за передачу в возмездное пользование муниципального имущества (за исключением имущества бюджетных и автономных учреждений, а также имущества муниципальных унитарных предприятий, в том числе казенных) на начало года, следующего за отчетным годом;</w:t>
            </w:r>
          </w:p>
          <w:p w:rsidR="002B1EBD" w:rsidRPr="00942A03" w:rsidRDefault="002B1EB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n - отчетный финансовый год;</w:t>
            </w:r>
          </w:p>
          <w:p w:rsidR="002B1EBD" w:rsidRPr="00942A03" w:rsidRDefault="002B1EB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n-1 - год, предшествующий отчетному финансовому году</w:t>
            </w:r>
          </w:p>
        </w:tc>
        <w:tc>
          <w:tcPr>
            <w:tcW w:w="1928" w:type="dxa"/>
          </w:tcPr>
          <w:p w:rsidR="002B1EBD" w:rsidRPr="00942A03" w:rsidRDefault="002B1EB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Данные сведений по дебиторской и кредиторской задолженности</w:t>
            </w:r>
          </w:p>
        </w:tc>
        <w:tc>
          <w:tcPr>
            <w:tcW w:w="2246" w:type="dxa"/>
            <w:tcBorders>
              <w:right w:val="single" w:sz="4" w:space="0" w:color="auto"/>
            </w:tcBorders>
          </w:tcPr>
          <w:p w:rsidR="002B1EBD" w:rsidRPr="00942A03" w:rsidRDefault="002B1EB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Отдел анализа и прогнозирования доходов департамента бюджетной политики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B1EBD" w:rsidRPr="00EB2028" w:rsidRDefault="002B1EBD" w:rsidP="0066602F"/>
        </w:tc>
      </w:tr>
      <w:tr w:rsidR="002B1EBD" w:rsidRPr="00542D6E" w:rsidTr="0066602F"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1EBD" w:rsidRPr="00542D6E" w:rsidRDefault="002B1EBD" w:rsidP="006660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2B1EBD" w:rsidRPr="00942A03" w:rsidRDefault="002B1EBD" w:rsidP="00666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2324" w:type="dxa"/>
          </w:tcPr>
          <w:p w:rsidR="002B1EBD" w:rsidRPr="00942A03" w:rsidRDefault="002B1EB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Среднедушевые собственные доходы не уменьшаются 2 года подряд</w:t>
            </w:r>
            <w:r w:rsidR="00942A03" w:rsidRPr="00942A03">
              <w:rPr>
                <w:rFonts w:ascii="Times New Roman" w:hAnsi="Times New Roman" w:cs="Times New Roman"/>
                <w:sz w:val="24"/>
                <w:szCs w:val="24"/>
              </w:rPr>
              <w:t>&lt;21&gt;</w:t>
            </w:r>
          </w:p>
        </w:tc>
        <w:tc>
          <w:tcPr>
            <w:tcW w:w="2784" w:type="dxa"/>
          </w:tcPr>
          <w:p w:rsidR="002B1EBD" w:rsidRPr="00942A03" w:rsidRDefault="002B1EB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4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Vn</w:t>
            </w:r>
            <w:proofErr w:type="spellEnd"/>
            <w:r w:rsidRPr="0094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(An / </w:t>
            </w:r>
            <w:proofErr w:type="spellStart"/>
            <w:r w:rsidRPr="0094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Bn</w:t>
            </w:r>
            <w:proofErr w:type="spellEnd"/>
            <w:r w:rsidRPr="0094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/ (An-1 / Bn-1) x 100</w:t>
            </w:r>
          </w:p>
          <w:p w:rsidR="002B1EBD" w:rsidRPr="00942A03" w:rsidRDefault="002B1EB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 xml:space="preserve">Vn-1 = (An-1 / Bn-1) / (An-2 / Bn-2) x 100, при условии, что </w:t>
            </w:r>
            <w:proofErr w:type="spellStart"/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Vn</w:t>
            </w:r>
            <w:proofErr w:type="spellEnd"/>
            <w:r w:rsidRPr="0094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или) Vn-1 &gt;= 100;</w:t>
            </w:r>
          </w:p>
          <w:p w:rsidR="002B1EBD" w:rsidRPr="00942A03" w:rsidRDefault="002B1EB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</w:t>
            </w:r>
            <w:proofErr w:type="spellEnd"/>
            <w:r w:rsidRPr="00942A03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фактически поступившие доходы муниципального образования, за исключением субвенций;</w:t>
            </w:r>
          </w:p>
          <w:p w:rsidR="002B1EBD" w:rsidRPr="00942A03" w:rsidRDefault="002B1EB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B - численность населения муниципального образования;</w:t>
            </w:r>
          </w:p>
          <w:p w:rsidR="002B1EBD" w:rsidRPr="00942A03" w:rsidRDefault="002B1EB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n - отчетный финансовый год;</w:t>
            </w:r>
          </w:p>
          <w:p w:rsidR="002B1EBD" w:rsidRPr="00942A03" w:rsidRDefault="002B1EB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 xml:space="preserve">n-1 - год, предшествующий </w:t>
            </w:r>
            <w:proofErr w:type="gramStart"/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  <w:p w:rsidR="002B1EBD" w:rsidRPr="00942A03" w:rsidRDefault="002B1EB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финансовому году;</w:t>
            </w:r>
          </w:p>
          <w:p w:rsidR="002B1EBD" w:rsidRPr="00942A03" w:rsidRDefault="002B1EB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n-2 - второй год, предшествующий отчетному финансовому году</w:t>
            </w:r>
          </w:p>
        </w:tc>
        <w:tc>
          <w:tcPr>
            <w:tcW w:w="1928" w:type="dxa"/>
          </w:tcPr>
          <w:p w:rsidR="002B1EBD" w:rsidRPr="00942A03" w:rsidRDefault="002B1EB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годового отчета об исполнении бюджета муниципального образования</w:t>
            </w:r>
          </w:p>
        </w:tc>
        <w:tc>
          <w:tcPr>
            <w:tcW w:w="2246" w:type="dxa"/>
            <w:tcBorders>
              <w:right w:val="single" w:sz="4" w:space="0" w:color="auto"/>
            </w:tcBorders>
          </w:tcPr>
          <w:p w:rsidR="002B1EBD" w:rsidRPr="00942A03" w:rsidRDefault="002B1EB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Отдел межбюджетных отношений департамента бюджетной политики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B1EBD" w:rsidRPr="00EB2028" w:rsidRDefault="002B1EBD" w:rsidP="0066602F"/>
        </w:tc>
      </w:tr>
      <w:tr w:rsidR="002B1EBD" w:rsidRPr="00542D6E" w:rsidTr="0066602F"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1EBD" w:rsidRPr="00542D6E" w:rsidRDefault="002B1EBD" w:rsidP="006660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2B1EBD" w:rsidRPr="00942A03" w:rsidRDefault="002B1EBD" w:rsidP="006660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3.19.</w:t>
            </w:r>
          </w:p>
        </w:tc>
        <w:tc>
          <w:tcPr>
            <w:tcW w:w="2324" w:type="dxa"/>
          </w:tcPr>
          <w:p w:rsidR="002B1EBD" w:rsidRPr="00942A03" w:rsidRDefault="002B1EB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Отсутствие объема средств, подлежащего возврату в областной бюджет Ленинградской области в случае недостижения результатов использования субсидий, предоставленных из областного бюджета Ленинградской области</w:t>
            </w:r>
            <w:r w:rsidR="001B2BC5" w:rsidRPr="00942A03">
              <w:rPr>
                <w:rFonts w:ascii="Times New Roman" w:hAnsi="Times New Roman" w:cs="Times New Roman"/>
                <w:sz w:val="24"/>
                <w:szCs w:val="24"/>
              </w:rPr>
              <w:t>&lt;21&gt;</w:t>
            </w:r>
          </w:p>
        </w:tc>
        <w:tc>
          <w:tcPr>
            <w:tcW w:w="2784" w:type="dxa"/>
          </w:tcPr>
          <w:p w:rsidR="002B1EBD" w:rsidRPr="00942A03" w:rsidRDefault="002B1EB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Start"/>
            <w:r w:rsidRPr="00942A03">
              <w:rPr>
                <w:rFonts w:ascii="Times New Roman" w:hAnsi="Times New Roman" w:cs="Times New Roman"/>
                <w:sz w:val="24"/>
                <w:szCs w:val="24"/>
              </w:rPr>
              <w:t xml:space="preserve"> = А</w:t>
            </w:r>
            <w:proofErr w:type="gramEnd"/>
          </w:p>
          <w:p w:rsidR="002B1EBD" w:rsidRPr="00942A03" w:rsidRDefault="002B1EB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А - объем средств, подлежащий возврату в областной бюджет в случае недостижения муниципальным образованием результатов использования субсидий</w:t>
            </w:r>
          </w:p>
        </w:tc>
        <w:tc>
          <w:tcPr>
            <w:tcW w:w="1928" w:type="dxa"/>
          </w:tcPr>
          <w:p w:rsidR="002B1EBD" w:rsidRPr="00942A03" w:rsidRDefault="002B1EB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Информация, имеющаяся в распоряжении комитета финансов Ленинградской области</w:t>
            </w:r>
          </w:p>
        </w:tc>
        <w:tc>
          <w:tcPr>
            <w:tcW w:w="2246" w:type="dxa"/>
            <w:tcBorders>
              <w:right w:val="single" w:sz="4" w:space="0" w:color="auto"/>
            </w:tcBorders>
          </w:tcPr>
          <w:p w:rsidR="002B1EBD" w:rsidRPr="00942A03" w:rsidRDefault="002B1EBD" w:rsidP="006660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Отдел межбюджетных отношений департамента бюджетной политики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B1EBD" w:rsidRPr="00EB2028" w:rsidRDefault="002B1EBD" w:rsidP="0066602F"/>
        </w:tc>
      </w:tr>
      <w:tr w:rsidR="001B2BC5" w:rsidRPr="001B2BC5" w:rsidTr="0066602F"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2BC5" w:rsidRPr="001B2BC5" w:rsidRDefault="001B2BC5" w:rsidP="006660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1B2BC5" w:rsidRPr="001B2BC5" w:rsidRDefault="001B2BC5" w:rsidP="001B1D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C5">
              <w:rPr>
                <w:rFonts w:ascii="Times New Roman" w:hAnsi="Times New Roman" w:cs="Times New Roman"/>
                <w:sz w:val="24"/>
                <w:szCs w:val="24"/>
              </w:rPr>
              <w:t>3.20.</w:t>
            </w:r>
          </w:p>
        </w:tc>
        <w:tc>
          <w:tcPr>
            <w:tcW w:w="2324" w:type="dxa"/>
          </w:tcPr>
          <w:p w:rsidR="001B2BC5" w:rsidRPr="001B2BC5" w:rsidRDefault="001B2BC5" w:rsidP="001B1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BC5">
              <w:rPr>
                <w:rFonts w:ascii="Times New Roman" w:hAnsi="Times New Roman" w:cs="Times New Roman"/>
                <w:sz w:val="24"/>
                <w:szCs w:val="24"/>
              </w:rPr>
              <w:t>Сокращение общего объема вложений в объекты незавершенного, финансовое обеспечение которых приостановлено (прекращено)</w:t>
            </w: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 xml:space="preserve"> &lt;21&gt;</w:t>
            </w:r>
          </w:p>
        </w:tc>
        <w:tc>
          <w:tcPr>
            <w:tcW w:w="2784" w:type="dxa"/>
          </w:tcPr>
          <w:p w:rsidR="001B2BC5" w:rsidRPr="001B2BC5" w:rsidRDefault="001B2BC5" w:rsidP="001B1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BC5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268487F8" wp14:editId="4560FEE6">
                  <wp:extent cx="1257300" cy="20574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BC5" w:rsidRPr="001B2BC5" w:rsidRDefault="001B2BC5" w:rsidP="001B1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BC5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1B2BC5" w:rsidRPr="001B2BC5" w:rsidRDefault="001B2BC5" w:rsidP="001B1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BC5">
              <w:rPr>
                <w:rFonts w:ascii="Times New Roman" w:hAnsi="Times New Roman" w:cs="Times New Roman"/>
                <w:sz w:val="24"/>
                <w:szCs w:val="24"/>
              </w:rPr>
              <w:t>A - объем вложений в объекты незавершенного строительства, финансовое обеспечение которых приостановлено (прекращено);</w:t>
            </w:r>
          </w:p>
          <w:p w:rsidR="001B2BC5" w:rsidRPr="001B2BC5" w:rsidRDefault="001B2BC5" w:rsidP="001B1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BC5">
              <w:rPr>
                <w:rFonts w:ascii="Times New Roman" w:hAnsi="Times New Roman" w:cs="Times New Roman"/>
                <w:sz w:val="24"/>
                <w:szCs w:val="24"/>
              </w:rPr>
              <w:t>n - отчетный финансовый год;</w:t>
            </w:r>
          </w:p>
          <w:p w:rsidR="001B2BC5" w:rsidRPr="001B2BC5" w:rsidRDefault="001B2BC5" w:rsidP="001B1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BC5">
              <w:rPr>
                <w:rFonts w:ascii="Times New Roman" w:hAnsi="Times New Roman" w:cs="Times New Roman"/>
                <w:sz w:val="24"/>
                <w:szCs w:val="24"/>
              </w:rPr>
              <w:t>n-1 - год, предшествующий отчетному финансовому году</w:t>
            </w:r>
          </w:p>
        </w:tc>
        <w:tc>
          <w:tcPr>
            <w:tcW w:w="1928" w:type="dxa"/>
          </w:tcPr>
          <w:p w:rsidR="001B2BC5" w:rsidRPr="001B2BC5" w:rsidRDefault="001B2BC5" w:rsidP="001B1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BC5">
              <w:rPr>
                <w:rFonts w:ascii="Times New Roman" w:hAnsi="Times New Roman" w:cs="Times New Roman"/>
                <w:sz w:val="24"/>
                <w:szCs w:val="24"/>
              </w:rPr>
              <w:t>Данные сведений об объектах незавершенного строительства, вложениях в объекты недвижимого имущества</w:t>
            </w:r>
          </w:p>
        </w:tc>
        <w:tc>
          <w:tcPr>
            <w:tcW w:w="2246" w:type="dxa"/>
            <w:tcBorders>
              <w:right w:val="single" w:sz="4" w:space="0" w:color="auto"/>
            </w:tcBorders>
          </w:tcPr>
          <w:p w:rsidR="001B2BC5" w:rsidRPr="001B2BC5" w:rsidRDefault="001B2BC5" w:rsidP="001B1D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BC5">
              <w:rPr>
                <w:rFonts w:ascii="Times New Roman" w:hAnsi="Times New Roman" w:cs="Times New Roman"/>
                <w:sz w:val="24"/>
                <w:szCs w:val="24"/>
              </w:rPr>
              <w:t>Департамент отраслевого финансирования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2BC5" w:rsidRPr="001B2BC5" w:rsidRDefault="001B2BC5" w:rsidP="0066602F">
            <w:pPr>
              <w:rPr>
                <w:rFonts w:ascii="Times New Roman" w:hAnsi="Times New Roman"/>
                <w:sz w:val="24"/>
                <w:szCs w:val="24"/>
              </w:rPr>
            </w:pPr>
            <w:r w:rsidRPr="001B2BC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</w:tbl>
    <w:p w:rsidR="002B1EBD" w:rsidRDefault="00F842D6" w:rsidP="00D919F7">
      <w:pPr>
        <w:pStyle w:val="a3"/>
        <w:numPr>
          <w:ilvl w:val="1"/>
          <w:numId w:val="5"/>
        </w:numPr>
        <w:ind w:left="0" w:firstLine="567"/>
        <w:jc w:val="both"/>
        <w:rPr>
          <w:szCs w:val="28"/>
        </w:rPr>
      </w:pPr>
      <w:r w:rsidRPr="00AD5D73">
        <w:rPr>
          <w:szCs w:val="28"/>
        </w:rPr>
        <w:t xml:space="preserve">В примечаниях к </w:t>
      </w:r>
      <w:r w:rsidR="00501409" w:rsidRPr="00AD5D73">
        <w:rPr>
          <w:szCs w:val="28"/>
        </w:rPr>
        <w:t>приложени</w:t>
      </w:r>
      <w:r w:rsidRPr="00AD5D73">
        <w:rPr>
          <w:szCs w:val="28"/>
        </w:rPr>
        <w:t>ю</w:t>
      </w:r>
      <w:r w:rsidR="00501409" w:rsidRPr="00AD5D73">
        <w:rPr>
          <w:szCs w:val="28"/>
        </w:rPr>
        <w:t xml:space="preserve"> 1 к Порядку (Индикаторы качества управления муниципальными финансами в Ленинградской области)</w:t>
      </w:r>
      <w:r w:rsidR="002B1EBD">
        <w:rPr>
          <w:szCs w:val="28"/>
        </w:rPr>
        <w:t>:</w:t>
      </w:r>
    </w:p>
    <w:p w:rsidR="004C3B62" w:rsidRDefault="00B53DF2" w:rsidP="00942A03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="00D919F7">
        <w:rPr>
          <w:szCs w:val="28"/>
        </w:rPr>
        <w:t xml:space="preserve">в </w:t>
      </w:r>
      <w:r w:rsidR="00D919F7" w:rsidRPr="00D919F7">
        <w:rPr>
          <w:szCs w:val="28"/>
        </w:rPr>
        <w:t>сноск</w:t>
      </w:r>
      <w:r w:rsidR="004C3B62">
        <w:rPr>
          <w:szCs w:val="28"/>
        </w:rPr>
        <w:t>е 9</w:t>
      </w:r>
      <w:r w:rsidR="004C3B62" w:rsidRPr="004C3B62">
        <w:rPr>
          <w:szCs w:val="28"/>
        </w:rPr>
        <w:t xml:space="preserve"> </w:t>
      </w:r>
      <w:r w:rsidR="004C3B62">
        <w:rPr>
          <w:szCs w:val="28"/>
        </w:rPr>
        <w:t>слова «</w:t>
      </w:r>
      <w:r w:rsidR="004C3B62" w:rsidRPr="004C3B62">
        <w:rPr>
          <w:szCs w:val="28"/>
        </w:rPr>
        <w:t>городскому округу</w:t>
      </w:r>
      <w:r w:rsidR="004C3B62">
        <w:rPr>
          <w:szCs w:val="28"/>
        </w:rPr>
        <w:t xml:space="preserve">» </w:t>
      </w:r>
      <w:proofErr w:type="gramStart"/>
      <w:r w:rsidR="004C3B62">
        <w:rPr>
          <w:szCs w:val="28"/>
        </w:rPr>
        <w:t>заменить на слова</w:t>
      </w:r>
      <w:proofErr w:type="gramEnd"/>
      <w:r w:rsidR="004C3B62">
        <w:rPr>
          <w:szCs w:val="28"/>
        </w:rPr>
        <w:t xml:space="preserve"> «муниципальных округов, городских округов»;</w:t>
      </w:r>
    </w:p>
    <w:p w:rsidR="002B1EBD" w:rsidRDefault="004C3B62" w:rsidP="00942A03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 xml:space="preserve">в сноске </w:t>
      </w:r>
      <w:r w:rsidR="00D919F7" w:rsidRPr="00D919F7">
        <w:rPr>
          <w:szCs w:val="28"/>
        </w:rPr>
        <w:t>1</w:t>
      </w:r>
      <w:r w:rsidR="00D919F7">
        <w:rPr>
          <w:szCs w:val="28"/>
        </w:rPr>
        <w:t>6</w:t>
      </w:r>
      <w:r w:rsidR="00D919F7" w:rsidRPr="00D919F7">
        <w:rPr>
          <w:szCs w:val="28"/>
        </w:rPr>
        <w:t xml:space="preserve"> </w:t>
      </w:r>
      <w:r w:rsidR="00D919F7">
        <w:rPr>
          <w:szCs w:val="28"/>
        </w:rPr>
        <w:t>слова «</w:t>
      </w:r>
      <w:r w:rsidR="00D919F7" w:rsidRPr="00D919F7">
        <w:rPr>
          <w:szCs w:val="28"/>
        </w:rPr>
        <w:t>городского округа</w:t>
      </w:r>
      <w:r w:rsidR="00D919F7">
        <w:rPr>
          <w:szCs w:val="28"/>
        </w:rPr>
        <w:t xml:space="preserve">» </w:t>
      </w:r>
      <w:proofErr w:type="gramStart"/>
      <w:r w:rsidR="00D919F7">
        <w:rPr>
          <w:szCs w:val="28"/>
        </w:rPr>
        <w:t>заменить на слова</w:t>
      </w:r>
      <w:proofErr w:type="gramEnd"/>
      <w:r w:rsidR="00D919F7">
        <w:rPr>
          <w:szCs w:val="28"/>
        </w:rPr>
        <w:t xml:space="preserve"> «муниципальн</w:t>
      </w:r>
      <w:r w:rsidR="003845DB">
        <w:rPr>
          <w:szCs w:val="28"/>
        </w:rPr>
        <w:t>ого</w:t>
      </w:r>
      <w:r w:rsidR="00D919F7">
        <w:rPr>
          <w:szCs w:val="28"/>
        </w:rPr>
        <w:t xml:space="preserve"> округ</w:t>
      </w:r>
      <w:r w:rsidR="003845DB">
        <w:rPr>
          <w:szCs w:val="28"/>
        </w:rPr>
        <w:t>а</w:t>
      </w:r>
      <w:r w:rsidR="00D919F7">
        <w:rPr>
          <w:szCs w:val="28"/>
        </w:rPr>
        <w:t>, городск</w:t>
      </w:r>
      <w:r w:rsidR="003845DB">
        <w:rPr>
          <w:szCs w:val="28"/>
        </w:rPr>
        <w:t>ого</w:t>
      </w:r>
      <w:r w:rsidR="00D919F7">
        <w:rPr>
          <w:szCs w:val="28"/>
        </w:rPr>
        <w:t xml:space="preserve"> округ</w:t>
      </w:r>
      <w:r w:rsidR="003845DB">
        <w:rPr>
          <w:szCs w:val="28"/>
        </w:rPr>
        <w:t>а</w:t>
      </w:r>
      <w:r w:rsidR="00D919F7">
        <w:rPr>
          <w:szCs w:val="28"/>
        </w:rPr>
        <w:t>»</w:t>
      </w:r>
      <w:r w:rsidR="002B1EBD">
        <w:rPr>
          <w:szCs w:val="28"/>
        </w:rPr>
        <w:t>;</w:t>
      </w:r>
    </w:p>
    <w:p w:rsidR="002B1EBD" w:rsidRDefault="002B1EBD" w:rsidP="00942A03">
      <w:pPr>
        <w:pStyle w:val="a3"/>
        <w:ind w:left="0" w:firstLine="567"/>
        <w:jc w:val="both"/>
        <w:rPr>
          <w:szCs w:val="28"/>
        </w:rPr>
      </w:pPr>
      <w:r>
        <w:rPr>
          <w:szCs w:val="28"/>
        </w:rPr>
        <w:t>дополнить сноской 21 следующего содержания:</w:t>
      </w:r>
    </w:p>
    <w:p w:rsidR="00A473F5" w:rsidRDefault="002B1EBD" w:rsidP="00942A03">
      <w:pPr>
        <w:pStyle w:val="a3"/>
        <w:ind w:left="0" w:firstLine="567"/>
        <w:jc w:val="both"/>
        <w:rPr>
          <w:szCs w:val="28"/>
        </w:rPr>
      </w:pPr>
      <w:proofErr w:type="gramStart"/>
      <w:r>
        <w:rPr>
          <w:szCs w:val="28"/>
        </w:rPr>
        <w:t>«</w:t>
      </w:r>
      <w:r w:rsidRPr="00303EF6">
        <w:rPr>
          <w:szCs w:val="28"/>
        </w:rPr>
        <w:t>&lt;</w:t>
      </w:r>
      <w:r>
        <w:rPr>
          <w:szCs w:val="28"/>
        </w:rPr>
        <w:t>21</w:t>
      </w:r>
      <w:r w:rsidRPr="00303EF6">
        <w:rPr>
          <w:szCs w:val="28"/>
        </w:rPr>
        <w:t>&gt;</w:t>
      </w:r>
      <w:r>
        <w:rPr>
          <w:szCs w:val="28"/>
        </w:rPr>
        <w:t xml:space="preserve"> </w:t>
      </w:r>
      <w:r w:rsidRPr="002B1EBD">
        <w:rPr>
          <w:szCs w:val="28"/>
        </w:rPr>
        <w:t xml:space="preserve">Индикатор </w:t>
      </w:r>
      <w:r>
        <w:rPr>
          <w:szCs w:val="28"/>
        </w:rPr>
        <w:t xml:space="preserve">не </w:t>
      </w:r>
      <w:r w:rsidRPr="002B1EBD">
        <w:rPr>
          <w:szCs w:val="28"/>
        </w:rPr>
        <w:t xml:space="preserve">рассчитывается по </w:t>
      </w:r>
      <w:r>
        <w:rPr>
          <w:szCs w:val="28"/>
        </w:rPr>
        <w:t xml:space="preserve">вновь образованным </w:t>
      </w:r>
      <w:r w:rsidRPr="002B1EBD">
        <w:rPr>
          <w:szCs w:val="28"/>
        </w:rPr>
        <w:t>муниципальным образованиям</w:t>
      </w:r>
      <w:r w:rsidR="00942A03">
        <w:rPr>
          <w:szCs w:val="28"/>
        </w:rPr>
        <w:t>, создание которых проходило в году</w:t>
      </w:r>
      <w:r w:rsidR="003B38CC">
        <w:rPr>
          <w:szCs w:val="28"/>
        </w:rPr>
        <w:t>,</w:t>
      </w:r>
      <w:r w:rsidR="00942A03">
        <w:rPr>
          <w:szCs w:val="28"/>
        </w:rPr>
        <w:t xml:space="preserve"> предшествующем отчетному</w:t>
      </w:r>
      <w:r w:rsidR="002B527B">
        <w:rPr>
          <w:szCs w:val="28"/>
        </w:rPr>
        <w:t>.</w:t>
      </w:r>
      <w:r w:rsidR="00942A03">
        <w:rPr>
          <w:szCs w:val="28"/>
        </w:rPr>
        <w:t>».</w:t>
      </w:r>
      <w:proofErr w:type="gramEnd"/>
    </w:p>
    <w:p w:rsidR="00AD5D73" w:rsidRDefault="00AD5D73" w:rsidP="00AD5D73">
      <w:pPr>
        <w:pStyle w:val="a3"/>
        <w:numPr>
          <w:ilvl w:val="1"/>
          <w:numId w:val="5"/>
        </w:numPr>
        <w:ind w:left="0" w:firstLine="567"/>
        <w:jc w:val="both"/>
        <w:rPr>
          <w:szCs w:val="28"/>
        </w:rPr>
      </w:pPr>
      <w:r w:rsidRPr="00AD5D73">
        <w:rPr>
          <w:szCs w:val="28"/>
        </w:rPr>
        <w:t>В приложении 2 к Порядку (Индикаторы качества управления муниципальными финансами в Ленинградской области и соответствующие им значения балльной оценки):</w:t>
      </w:r>
    </w:p>
    <w:p w:rsidR="00E158BF" w:rsidRDefault="00275F4F" w:rsidP="00F263D1">
      <w:pPr>
        <w:pStyle w:val="a3"/>
        <w:ind w:left="495"/>
        <w:jc w:val="both"/>
        <w:rPr>
          <w:szCs w:val="28"/>
        </w:rPr>
      </w:pPr>
      <w:r>
        <w:rPr>
          <w:szCs w:val="28"/>
        </w:rPr>
        <w:t xml:space="preserve">В таблице </w:t>
      </w:r>
      <w:r w:rsidR="00D919F7">
        <w:rPr>
          <w:szCs w:val="28"/>
        </w:rPr>
        <w:t xml:space="preserve">добавить </w:t>
      </w:r>
      <w:r w:rsidR="00B53DF2" w:rsidRPr="00B53DF2">
        <w:rPr>
          <w:szCs w:val="28"/>
        </w:rPr>
        <w:t>строк</w:t>
      </w:r>
      <w:r w:rsidR="00D919F7">
        <w:rPr>
          <w:szCs w:val="28"/>
        </w:rPr>
        <w:t>и:</w:t>
      </w:r>
      <w:r w:rsidR="00B53DF2" w:rsidRPr="00B53DF2">
        <w:rPr>
          <w:szCs w:val="28"/>
        </w:rPr>
        <w:t xml:space="preserve"> </w:t>
      </w:r>
    </w:p>
    <w:tbl>
      <w:tblPr>
        <w:tblW w:w="10232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"/>
        <w:gridCol w:w="624"/>
        <w:gridCol w:w="2557"/>
        <w:gridCol w:w="993"/>
        <w:gridCol w:w="992"/>
        <w:gridCol w:w="1134"/>
        <w:gridCol w:w="992"/>
        <w:gridCol w:w="1134"/>
        <w:gridCol w:w="1276"/>
        <w:gridCol w:w="285"/>
      </w:tblGrid>
      <w:tr w:rsidR="00275F4F" w:rsidRPr="00542D6E" w:rsidTr="00275F4F"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5F4F" w:rsidRPr="00542D6E" w:rsidRDefault="00275F4F" w:rsidP="00B529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42D6E">
              <w:rPr>
                <w:sz w:val="28"/>
                <w:szCs w:val="28"/>
              </w:rPr>
              <w:t>"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275F4F" w:rsidRPr="00275F4F" w:rsidRDefault="001B2BC5" w:rsidP="00B52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3.23.</w:t>
            </w:r>
          </w:p>
        </w:tc>
        <w:tc>
          <w:tcPr>
            <w:tcW w:w="2557" w:type="dxa"/>
          </w:tcPr>
          <w:p w:rsidR="00275F4F" w:rsidRPr="00275F4F" w:rsidRDefault="00D919F7" w:rsidP="002B52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3981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доли закупок малого объема через размещение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19F7">
              <w:rPr>
                <w:rFonts w:ascii="Times New Roman" w:hAnsi="Times New Roman" w:cs="Times New Roman"/>
                <w:sz w:val="24"/>
                <w:szCs w:val="24"/>
              </w:rPr>
              <w:t>грегатор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D919F7">
              <w:rPr>
                <w:rFonts w:ascii="Times New Roman" w:hAnsi="Times New Roman" w:cs="Times New Roman"/>
                <w:sz w:val="24"/>
                <w:szCs w:val="24"/>
              </w:rPr>
              <w:t xml:space="preserve"> торговли Ленинградской области "Электронный магазин Ленинградской области"</w:t>
            </w:r>
            <w:r w:rsidRPr="00C03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27B" w:rsidRPr="000A27DD">
              <w:t>&lt;2&gt;</w:t>
            </w:r>
            <w:r w:rsidR="002B527B">
              <w:t>&lt;3&gt;</w:t>
            </w:r>
          </w:p>
        </w:tc>
        <w:tc>
          <w:tcPr>
            <w:tcW w:w="993" w:type="dxa"/>
          </w:tcPr>
          <w:p w:rsidR="00275F4F" w:rsidRPr="00275F4F" w:rsidRDefault="00BB3451" w:rsidP="00B52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50</w:t>
            </w:r>
          </w:p>
        </w:tc>
        <w:tc>
          <w:tcPr>
            <w:tcW w:w="992" w:type="dxa"/>
          </w:tcPr>
          <w:p w:rsidR="00275F4F" w:rsidRPr="00275F4F" w:rsidRDefault="00275F4F" w:rsidP="00B52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F4F" w:rsidRPr="00275F4F" w:rsidRDefault="00275F4F" w:rsidP="00B52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F4F" w:rsidRPr="00275F4F" w:rsidRDefault="00275F4F" w:rsidP="00B52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F4F" w:rsidRPr="00275F4F" w:rsidRDefault="00275F4F" w:rsidP="00B52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75F4F" w:rsidRPr="00275F4F" w:rsidRDefault="00BB3451" w:rsidP="00B52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и более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75F4F" w:rsidRPr="00542D6E" w:rsidRDefault="00275F4F" w:rsidP="00B529A2"/>
        </w:tc>
      </w:tr>
    </w:tbl>
    <w:p w:rsidR="002B527B" w:rsidRDefault="00BB3451" w:rsidP="00942A03">
      <w:pPr>
        <w:pStyle w:val="a3"/>
        <w:numPr>
          <w:ilvl w:val="1"/>
          <w:numId w:val="9"/>
        </w:numPr>
        <w:ind w:left="0" w:firstLine="567"/>
        <w:jc w:val="both"/>
        <w:rPr>
          <w:bCs/>
          <w:szCs w:val="28"/>
        </w:rPr>
      </w:pPr>
      <w:r w:rsidRPr="00BB3451">
        <w:rPr>
          <w:bCs/>
          <w:szCs w:val="28"/>
        </w:rPr>
        <w:t>В примечаниях к приложению 2 к Порядку (Индикаторы качества управления муниципальными финансами в Ленинградской области и соответствующие им значения балльной оценки)</w:t>
      </w:r>
      <w:r>
        <w:rPr>
          <w:bCs/>
          <w:szCs w:val="28"/>
        </w:rPr>
        <w:t xml:space="preserve"> </w:t>
      </w:r>
      <w:r w:rsidR="002B527B">
        <w:rPr>
          <w:bCs/>
          <w:szCs w:val="28"/>
        </w:rPr>
        <w:t>добавить сноски следующего содержания:</w:t>
      </w:r>
    </w:p>
    <w:p w:rsidR="002B527B" w:rsidRPr="00942A03" w:rsidRDefault="002B527B" w:rsidP="00942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A03">
        <w:rPr>
          <w:rFonts w:ascii="Times New Roman" w:hAnsi="Times New Roman" w:cs="Times New Roman"/>
          <w:bCs/>
          <w:sz w:val="28"/>
          <w:szCs w:val="28"/>
        </w:rPr>
        <w:t xml:space="preserve">«&lt;2&gt; </w:t>
      </w:r>
      <w:r w:rsidRPr="00942A03">
        <w:rPr>
          <w:rFonts w:ascii="Times New Roman" w:hAnsi="Times New Roman" w:cs="Times New Roman"/>
          <w:sz w:val="28"/>
          <w:szCs w:val="28"/>
        </w:rPr>
        <w:t>Индикатор для оценки качества управления муниципальными финансами в Ленинградской области за 2024 год рассчитывается в соответствии с таблицей:</w:t>
      </w:r>
    </w:p>
    <w:tbl>
      <w:tblPr>
        <w:tblW w:w="10232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"/>
        <w:gridCol w:w="624"/>
        <w:gridCol w:w="2557"/>
        <w:gridCol w:w="993"/>
        <w:gridCol w:w="992"/>
        <w:gridCol w:w="1134"/>
        <w:gridCol w:w="992"/>
        <w:gridCol w:w="1134"/>
        <w:gridCol w:w="1276"/>
        <w:gridCol w:w="285"/>
      </w:tblGrid>
      <w:tr w:rsidR="002B527B" w:rsidRPr="00942A03" w:rsidTr="00EF1959"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527B" w:rsidRPr="00942A03" w:rsidRDefault="002B527B" w:rsidP="00EF19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2B527B" w:rsidRPr="00942A03" w:rsidRDefault="002B527B" w:rsidP="00EF1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2B527B" w:rsidRPr="00942A03" w:rsidRDefault="002B527B" w:rsidP="00EF19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доли закупок малого объема через размещение в </w:t>
            </w:r>
            <w:proofErr w:type="spellStart"/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агрегаторе</w:t>
            </w:r>
            <w:proofErr w:type="spellEnd"/>
            <w:r w:rsidRPr="00942A03">
              <w:rPr>
                <w:rFonts w:ascii="Times New Roman" w:hAnsi="Times New Roman" w:cs="Times New Roman"/>
                <w:sz w:val="24"/>
                <w:szCs w:val="24"/>
              </w:rPr>
              <w:t xml:space="preserve"> торговли Ленинградской области "Электронный магазин Ленинградской области"</w:t>
            </w:r>
          </w:p>
        </w:tc>
        <w:tc>
          <w:tcPr>
            <w:tcW w:w="993" w:type="dxa"/>
          </w:tcPr>
          <w:p w:rsidR="002B527B" w:rsidRPr="00942A03" w:rsidRDefault="002B527B" w:rsidP="00EF1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Менее 10</w:t>
            </w:r>
          </w:p>
        </w:tc>
        <w:tc>
          <w:tcPr>
            <w:tcW w:w="992" w:type="dxa"/>
          </w:tcPr>
          <w:p w:rsidR="002B527B" w:rsidRPr="00942A03" w:rsidRDefault="002B527B" w:rsidP="00EF1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27B" w:rsidRPr="00942A03" w:rsidRDefault="002B527B" w:rsidP="00EF1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27B" w:rsidRPr="00942A03" w:rsidRDefault="002B527B" w:rsidP="00EF1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27B" w:rsidRPr="00942A03" w:rsidRDefault="002B527B" w:rsidP="00EF1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B527B" w:rsidRPr="00942A03" w:rsidRDefault="002B527B" w:rsidP="00EF1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10 и более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B527B" w:rsidRPr="00942A03" w:rsidRDefault="002B527B" w:rsidP="00EF1959">
            <w:pPr>
              <w:rPr>
                <w:rFonts w:ascii="Times New Roman" w:hAnsi="Times New Roman"/>
                <w:sz w:val="24"/>
                <w:szCs w:val="24"/>
              </w:rPr>
            </w:pPr>
            <w:r w:rsidRPr="00942A0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</w:tbl>
    <w:p w:rsidR="002B527B" w:rsidRPr="00E00761" w:rsidRDefault="002B527B" w:rsidP="002B52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761">
        <w:rPr>
          <w:rFonts w:ascii="Times New Roman" w:hAnsi="Times New Roman" w:cs="Times New Roman"/>
          <w:bCs/>
          <w:sz w:val="28"/>
          <w:szCs w:val="28"/>
        </w:rPr>
        <w:t xml:space="preserve">«&lt;3&gt; </w:t>
      </w:r>
      <w:r w:rsidRPr="00E00761">
        <w:rPr>
          <w:rFonts w:ascii="Times New Roman" w:hAnsi="Times New Roman" w:cs="Times New Roman"/>
          <w:sz w:val="28"/>
          <w:szCs w:val="28"/>
        </w:rPr>
        <w:t>Индикатор для оценки качества управления муниципальными финансами в Ленинградской области за 2025 год рассчитывается в соответствии с таблицей:</w:t>
      </w:r>
    </w:p>
    <w:tbl>
      <w:tblPr>
        <w:tblW w:w="10232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"/>
        <w:gridCol w:w="624"/>
        <w:gridCol w:w="2557"/>
        <w:gridCol w:w="993"/>
        <w:gridCol w:w="992"/>
        <w:gridCol w:w="1134"/>
        <w:gridCol w:w="992"/>
        <w:gridCol w:w="1134"/>
        <w:gridCol w:w="1276"/>
        <w:gridCol w:w="285"/>
      </w:tblGrid>
      <w:tr w:rsidR="002B527B" w:rsidRPr="00942A03" w:rsidTr="00EF1959"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527B" w:rsidRPr="00942A03" w:rsidRDefault="002B527B" w:rsidP="00EF195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2B527B" w:rsidRPr="00942A03" w:rsidRDefault="002B527B" w:rsidP="00EF1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2B527B" w:rsidRPr="00942A03" w:rsidRDefault="002B527B" w:rsidP="00EF19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доли закупок малого объема через размещение в </w:t>
            </w:r>
            <w:proofErr w:type="spellStart"/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агрегаторе</w:t>
            </w:r>
            <w:proofErr w:type="spellEnd"/>
            <w:r w:rsidRPr="00942A03">
              <w:rPr>
                <w:rFonts w:ascii="Times New Roman" w:hAnsi="Times New Roman" w:cs="Times New Roman"/>
                <w:sz w:val="24"/>
                <w:szCs w:val="24"/>
              </w:rPr>
              <w:t xml:space="preserve"> торговли Ленинградской области "Электронный </w:t>
            </w:r>
            <w:r w:rsidRPr="00942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 Ленинградской области"</w:t>
            </w:r>
          </w:p>
        </w:tc>
        <w:tc>
          <w:tcPr>
            <w:tcW w:w="993" w:type="dxa"/>
          </w:tcPr>
          <w:p w:rsidR="002B527B" w:rsidRPr="00942A03" w:rsidRDefault="002B527B" w:rsidP="002B52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30</w:t>
            </w:r>
          </w:p>
        </w:tc>
        <w:tc>
          <w:tcPr>
            <w:tcW w:w="992" w:type="dxa"/>
          </w:tcPr>
          <w:p w:rsidR="002B527B" w:rsidRPr="00942A03" w:rsidRDefault="002B527B" w:rsidP="00EF1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27B" w:rsidRPr="00942A03" w:rsidRDefault="002B527B" w:rsidP="00EF1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27B" w:rsidRPr="00942A03" w:rsidRDefault="002B527B" w:rsidP="00EF1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27B" w:rsidRPr="00942A03" w:rsidRDefault="002B527B" w:rsidP="00EF1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B527B" w:rsidRPr="00942A03" w:rsidRDefault="002B527B" w:rsidP="00EF1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A03">
              <w:rPr>
                <w:rFonts w:ascii="Times New Roman" w:hAnsi="Times New Roman" w:cs="Times New Roman"/>
                <w:sz w:val="24"/>
                <w:szCs w:val="24"/>
              </w:rPr>
              <w:t>30 и более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B527B" w:rsidRPr="00942A03" w:rsidRDefault="002B527B" w:rsidP="00EF1959">
            <w:pPr>
              <w:rPr>
                <w:rFonts w:ascii="Times New Roman" w:hAnsi="Times New Roman"/>
                <w:sz w:val="24"/>
                <w:szCs w:val="24"/>
              </w:rPr>
            </w:pPr>
            <w:r w:rsidRPr="00942A0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</w:tbl>
    <w:p w:rsidR="002E72A9" w:rsidRPr="00A229E5" w:rsidRDefault="001D427C" w:rsidP="00BB3451">
      <w:pPr>
        <w:pStyle w:val="a3"/>
        <w:numPr>
          <w:ilvl w:val="0"/>
          <w:numId w:val="9"/>
        </w:numPr>
        <w:ind w:left="0" w:firstLine="567"/>
        <w:jc w:val="both"/>
        <w:rPr>
          <w:bCs/>
          <w:szCs w:val="28"/>
        </w:rPr>
      </w:pPr>
      <w:r w:rsidRPr="00A229E5">
        <w:rPr>
          <w:bCs/>
          <w:szCs w:val="28"/>
        </w:rPr>
        <w:lastRenderedPageBreak/>
        <w:t xml:space="preserve">Настоящий приказ вступает в силу </w:t>
      </w:r>
      <w:proofErr w:type="gramStart"/>
      <w:r w:rsidRPr="00A229E5">
        <w:rPr>
          <w:bCs/>
          <w:szCs w:val="28"/>
        </w:rPr>
        <w:t xml:space="preserve">с даты </w:t>
      </w:r>
      <w:r w:rsidR="0048070C">
        <w:rPr>
          <w:bCs/>
          <w:szCs w:val="28"/>
        </w:rPr>
        <w:t>подписания</w:t>
      </w:r>
      <w:proofErr w:type="gramEnd"/>
      <w:r w:rsidRPr="00A229E5">
        <w:rPr>
          <w:bCs/>
          <w:szCs w:val="28"/>
        </w:rPr>
        <w:t xml:space="preserve"> </w:t>
      </w:r>
      <w:r w:rsidR="00135564">
        <w:rPr>
          <w:bCs/>
          <w:szCs w:val="28"/>
        </w:rPr>
        <w:t xml:space="preserve">и </w:t>
      </w:r>
      <w:r w:rsidR="00135564" w:rsidRPr="00135564">
        <w:rPr>
          <w:bCs/>
          <w:szCs w:val="28"/>
        </w:rPr>
        <w:t>применяется</w:t>
      </w:r>
      <w:r w:rsidR="000920F3">
        <w:rPr>
          <w:bCs/>
          <w:szCs w:val="28"/>
        </w:rPr>
        <w:t>,</w:t>
      </w:r>
      <w:r w:rsidR="00135564" w:rsidRPr="00135564">
        <w:rPr>
          <w:bCs/>
          <w:szCs w:val="28"/>
        </w:rPr>
        <w:t xml:space="preserve"> начиная с проведения оценки качества управления муниципальными финансами в Ленинградской области за 202</w:t>
      </w:r>
      <w:r w:rsidR="000A27DD">
        <w:rPr>
          <w:bCs/>
          <w:szCs w:val="28"/>
        </w:rPr>
        <w:t>4</w:t>
      </w:r>
      <w:r w:rsidR="00135564" w:rsidRPr="00135564">
        <w:rPr>
          <w:bCs/>
          <w:szCs w:val="28"/>
        </w:rPr>
        <w:t xml:space="preserve"> год</w:t>
      </w:r>
      <w:r w:rsidR="002E72A9" w:rsidRPr="00A229E5">
        <w:rPr>
          <w:bCs/>
          <w:szCs w:val="28"/>
        </w:rPr>
        <w:t>.</w:t>
      </w:r>
    </w:p>
    <w:p w:rsidR="00A229E5" w:rsidRDefault="00A229E5" w:rsidP="00BB3451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bCs/>
          <w:szCs w:val="28"/>
        </w:rPr>
      </w:pPr>
      <w:proofErr w:type="gramStart"/>
      <w:r w:rsidRPr="00C36E0D">
        <w:rPr>
          <w:szCs w:val="28"/>
        </w:rPr>
        <w:t>Контроль за</w:t>
      </w:r>
      <w:proofErr w:type="gramEnd"/>
      <w:r w:rsidRPr="00C36E0D">
        <w:rPr>
          <w:szCs w:val="28"/>
        </w:rPr>
        <w:t xml:space="preserve"> исполнением данного приказа оставляю за собой.</w:t>
      </w:r>
    </w:p>
    <w:p w:rsidR="00EC4E60" w:rsidRPr="00C36E0D" w:rsidRDefault="00EC4E60" w:rsidP="006B73F8">
      <w:pPr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211"/>
        <w:gridCol w:w="4253"/>
      </w:tblGrid>
      <w:tr w:rsidR="002E72A9" w:rsidRPr="001F3306" w:rsidTr="00B07099">
        <w:trPr>
          <w:cantSplit/>
        </w:trPr>
        <w:tc>
          <w:tcPr>
            <w:tcW w:w="5211" w:type="dxa"/>
          </w:tcPr>
          <w:p w:rsidR="002E72A9" w:rsidRPr="001F3306" w:rsidRDefault="002E72A9" w:rsidP="00B070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3306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Ленинградской области - председатель комитета финансов</w:t>
            </w:r>
          </w:p>
        </w:tc>
        <w:tc>
          <w:tcPr>
            <w:tcW w:w="4253" w:type="dxa"/>
          </w:tcPr>
          <w:p w:rsidR="002E72A9" w:rsidRPr="001F3306" w:rsidRDefault="002E72A9" w:rsidP="00B07099">
            <w:pPr>
              <w:spacing w:after="0"/>
              <w:jc w:val="right"/>
              <w:rPr>
                <w:rFonts w:ascii="Times New Roman" w:hAnsi="Times New Roman"/>
                <w:sz w:val="28"/>
              </w:rPr>
            </w:pPr>
          </w:p>
          <w:p w:rsidR="002E72A9" w:rsidRDefault="002E72A9" w:rsidP="00B07099">
            <w:pPr>
              <w:spacing w:after="0"/>
              <w:jc w:val="right"/>
              <w:rPr>
                <w:rFonts w:ascii="Times New Roman" w:hAnsi="Times New Roman"/>
                <w:sz w:val="28"/>
              </w:rPr>
            </w:pPr>
          </w:p>
          <w:p w:rsidR="002E72A9" w:rsidRPr="001F3306" w:rsidRDefault="002E72A9" w:rsidP="00B07099">
            <w:pPr>
              <w:spacing w:after="0"/>
              <w:jc w:val="right"/>
              <w:rPr>
                <w:rFonts w:ascii="Times New Roman" w:hAnsi="Times New Roman"/>
                <w:sz w:val="28"/>
              </w:rPr>
            </w:pPr>
            <w:r w:rsidRPr="001F3306">
              <w:rPr>
                <w:rFonts w:ascii="Times New Roman" w:hAnsi="Times New Roman"/>
                <w:sz w:val="28"/>
              </w:rPr>
              <w:t>Р.И.Марков</w:t>
            </w:r>
          </w:p>
        </w:tc>
      </w:tr>
    </w:tbl>
    <w:p w:rsidR="006B73F8" w:rsidRDefault="006B73F8" w:rsidP="005C3318">
      <w:pPr>
        <w:spacing w:after="0" w:line="240" w:lineRule="auto"/>
      </w:pPr>
    </w:p>
    <w:sectPr w:rsidR="006B7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7207"/>
    <w:multiLevelType w:val="multilevel"/>
    <w:tmpl w:val="AE3484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">
    <w:nsid w:val="136C5A56"/>
    <w:multiLevelType w:val="multilevel"/>
    <w:tmpl w:val="AE3484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2AD609AF"/>
    <w:multiLevelType w:val="multilevel"/>
    <w:tmpl w:val="4FC835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>
    <w:nsid w:val="300E49F4"/>
    <w:multiLevelType w:val="multilevel"/>
    <w:tmpl w:val="6E4A7C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41D54858"/>
    <w:multiLevelType w:val="multilevel"/>
    <w:tmpl w:val="51FEEF1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426E26FD"/>
    <w:multiLevelType w:val="multilevel"/>
    <w:tmpl w:val="AA7A9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55765C8F"/>
    <w:multiLevelType w:val="hybridMultilevel"/>
    <w:tmpl w:val="FB8CE5D0"/>
    <w:lvl w:ilvl="0" w:tplc="FC34F1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36972D0"/>
    <w:multiLevelType w:val="multilevel"/>
    <w:tmpl w:val="B4162A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7A66542"/>
    <w:multiLevelType w:val="hybridMultilevel"/>
    <w:tmpl w:val="A6348224"/>
    <w:lvl w:ilvl="0" w:tplc="D8B4029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F8"/>
    <w:rsid w:val="00007C5D"/>
    <w:rsid w:val="00051EEE"/>
    <w:rsid w:val="00061E4A"/>
    <w:rsid w:val="0007376D"/>
    <w:rsid w:val="00077143"/>
    <w:rsid w:val="000920F3"/>
    <w:rsid w:val="000A27DD"/>
    <w:rsid w:val="000B155D"/>
    <w:rsid w:val="000C135C"/>
    <w:rsid w:val="000D5634"/>
    <w:rsid w:val="000D6887"/>
    <w:rsid w:val="000E52A9"/>
    <w:rsid w:val="000F50C3"/>
    <w:rsid w:val="000F6902"/>
    <w:rsid w:val="00116007"/>
    <w:rsid w:val="001170BC"/>
    <w:rsid w:val="00123408"/>
    <w:rsid w:val="00135564"/>
    <w:rsid w:val="0014184A"/>
    <w:rsid w:val="00151195"/>
    <w:rsid w:val="0015399A"/>
    <w:rsid w:val="00162D03"/>
    <w:rsid w:val="00165D25"/>
    <w:rsid w:val="00176CD2"/>
    <w:rsid w:val="0018271B"/>
    <w:rsid w:val="001A4F56"/>
    <w:rsid w:val="001B1181"/>
    <w:rsid w:val="001B2BC5"/>
    <w:rsid w:val="001D427C"/>
    <w:rsid w:val="0022251B"/>
    <w:rsid w:val="0022632A"/>
    <w:rsid w:val="00230D1A"/>
    <w:rsid w:val="00233C0D"/>
    <w:rsid w:val="00262606"/>
    <w:rsid w:val="0026601A"/>
    <w:rsid w:val="00275F4F"/>
    <w:rsid w:val="00276B2D"/>
    <w:rsid w:val="00290809"/>
    <w:rsid w:val="00293EB1"/>
    <w:rsid w:val="002A6D12"/>
    <w:rsid w:val="002A7250"/>
    <w:rsid w:val="002A73A9"/>
    <w:rsid w:val="002B1EBD"/>
    <w:rsid w:val="002B527B"/>
    <w:rsid w:val="002D7EAB"/>
    <w:rsid w:val="002E1A4B"/>
    <w:rsid w:val="002E72A9"/>
    <w:rsid w:val="002F22A5"/>
    <w:rsid w:val="002F4EBB"/>
    <w:rsid w:val="003024D3"/>
    <w:rsid w:val="00302C03"/>
    <w:rsid w:val="00303EF6"/>
    <w:rsid w:val="00306E41"/>
    <w:rsid w:val="00306F42"/>
    <w:rsid w:val="0030788D"/>
    <w:rsid w:val="003110D6"/>
    <w:rsid w:val="00313181"/>
    <w:rsid w:val="003257DC"/>
    <w:rsid w:val="00336DB0"/>
    <w:rsid w:val="003439CE"/>
    <w:rsid w:val="0035503F"/>
    <w:rsid w:val="00356E08"/>
    <w:rsid w:val="00364DE5"/>
    <w:rsid w:val="0037791E"/>
    <w:rsid w:val="003845DB"/>
    <w:rsid w:val="003947D4"/>
    <w:rsid w:val="00396E61"/>
    <w:rsid w:val="003B38CC"/>
    <w:rsid w:val="003B5D78"/>
    <w:rsid w:val="003B6188"/>
    <w:rsid w:val="003C2F9F"/>
    <w:rsid w:val="003C389B"/>
    <w:rsid w:val="003D0D11"/>
    <w:rsid w:val="003E3B66"/>
    <w:rsid w:val="00423FCC"/>
    <w:rsid w:val="00436E89"/>
    <w:rsid w:val="004423C6"/>
    <w:rsid w:val="00442741"/>
    <w:rsid w:val="00445842"/>
    <w:rsid w:val="00445AB6"/>
    <w:rsid w:val="004730E1"/>
    <w:rsid w:val="0048070C"/>
    <w:rsid w:val="00490978"/>
    <w:rsid w:val="004B0411"/>
    <w:rsid w:val="004C3B62"/>
    <w:rsid w:val="004D2BB7"/>
    <w:rsid w:val="004E60D9"/>
    <w:rsid w:val="004F65F5"/>
    <w:rsid w:val="00501409"/>
    <w:rsid w:val="00503427"/>
    <w:rsid w:val="00523B70"/>
    <w:rsid w:val="00524491"/>
    <w:rsid w:val="00532947"/>
    <w:rsid w:val="00572053"/>
    <w:rsid w:val="005A5337"/>
    <w:rsid w:val="005B1544"/>
    <w:rsid w:val="005C3318"/>
    <w:rsid w:val="005C3BE3"/>
    <w:rsid w:val="005C5A42"/>
    <w:rsid w:val="005D08F3"/>
    <w:rsid w:val="005E3F56"/>
    <w:rsid w:val="005F0D56"/>
    <w:rsid w:val="005F1C92"/>
    <w:rsid w:val="005F27B3"/>
    <w:rsid w:val="00605E05"/>
    <w:rsid w:val="00613DC6"/>
    <w:rsid w:val="00636876"/>
    <w:rsid w:val="00643007"/>
    <w:rsid w:val="00652D0C"/>
    <w:rsid w:val="0066552F"/>
    <w:rsid w:val="006718C2"/>
    <w:rsid w:val="006A67EA"/>
    <w:rsid w:val="006B64D4"/>
    <w:rsid w:val="006B6F2E"/>
    <w:rsid w:val="006B73F8"/>
    <w:rsid w:val="006C4C6E"/>
    <w:rsid w:val="006D44BD"/>
    <w:rsid w:val="006E2A96"/>
    <w:rsid w:val="006E7816"/>
    <w:rsid w:val="006F5BA5"/>
    <w:rsid w:val="00705999"/>
    <w:rsid w:val="00711721"/>
    <w:rsid w:val="00721371"/>
    <w:rsid w:val="00723A41"/>
    <w:rsid w:val="007349E7"/>
    <w:rsid w:val="00740290"/>
    <w:rsid w:val="00746F3F"/>
    <w:rsid w:val="007474A3"/>
    <w:rsid w:val="007525BF"/>
    <w:rsid w:val="00763C2C"/>
    <w:rsid w:val="00766E5D"/>
    <w:rsid w:val="00777C06"/>
    <w:rsid w:val="00777D58"/>
    <w:rsid w:val="007A7E97"/>
    <w:rsid w:val="007D602E"/>
    <w:rsid w:val="0080784B"/>
    <w:rsid w:val="00845DB3"/>
    <w:rsid w:val="00866641"/>
    <w:rsid w:val="00880516"/>
    <w:rsid w:val="008867D0"/>
    <w:rsid w:val="00892761"/>
    <w:rsid w:val="00893EE4"/>
    <w:rsid w:val="008C340E"/>
    <w:rsid w:val="008D0CAF"/>
    <w:rsid w:val="008D6A1C"/>
    <w:rsid w:val="008E7B3C"/>
    <w:rsid w:val="00911EA2"/>
    <w:rsid w:val="009208C7"/>
    <w:rsid w:val="0092388D"/>
    <w:rsid w:val="00923D25"/>
    <w:rsid w:val="00926DC7"/>
    <w:rsid w:val="009272A9"/>
    <w:rsid w:val="00927793"/>
    <w:rsid w:val="00942A03"/>
    <w:rsid w:val="009459BA"/>
    <w:rsid w:val="00951547"/>
    <w:rsid w:val="00952F83"/>
    <w:rsid w:val="00957359"/>
    <w:rsid w:val="009777D6"/>
    <w:rsid w:val="0099109D"/>
    <w:rsid w:val="009B104F"/>
    <w:rsid w:val="009C4BA0"/>
    <w:rsid w:val="009D42D3"/>
    <w:rsid w:val="009D4F08"/>
    <w:rsid w:val="009D5F48"/>
    <w:rsid w:val="009E473C"/>
    <w:rsid w:val="009F7DD8"/>
    <w:rsid w:val="00A229E5"/>
    <w:rsid w:val="00A40626"/>
    <w:rsid w:val="00A465EC"/>
    <w:rsid w:val="00A473F5"/>
    <w:rsid w:val="00A64095"/>
    <w:rsid w:val="00A7223E"/>
    <w:rsid w:val="00A725A2"/>
    <w:rsid w:val="00A96156"/>
    <w:rsid w:val="00AA101F"/>
    <w:rsid w:val="00AB5CBD"/>
    <w:rsid w:val="00AD5D73"/>
    <w:rsid w:val="00AE320B"/>
    <w:rsid w:val="00AF0D35"/>
    <w:rsid w:val="00B0177D"/>
    <w:rsid w:val="00B07099"/>
    <w:rsid w:val="00B10732"/>
    <w:rsid w:val="00B139C7"/>
    <w:rsid w:val="00B2591F"/>
    <w:rsid w:val="00B35B6F"/>
    <w:rsid w:val="00B46A01"/>
    <w:rsid w:val="00B53DF2"/>
    <w:rsid w:val="00B5498C"/>
    <w:rsid w:val="00B65421"/>
    <w:rsid w:val="00B71B53"/>
    <w:rsid w:val="00B9711F"/>
    <w:rsid w:val="00BB3357"/>
    <w:rsid w:val="00BB3451"/>
    <w:rsid w:val="00BB3F32"/>
    <w:rsid w:val="00BB45A8"/>
    <w:rsid w:val="00BD5679"/>
    <w:rsid w:val="00BE6764"/>
    <w:rsid w:val="00BF7039"/>
    <w:rsid w:val="00BF788E"/>
    <w:rsid w:val="00C03981"/>
    <w:rsid w:val="00C10EF7"/>
    <w:rsid w:val="00C11C9A"/>
    <w:rsid w:val="00C35037"/>
    <w:rsid w:val="00C36340"/>
    <w:rsid w:val="00C36E0D"/>
    <w:rsid w:val="00C51276"/>
    <w:rsid w:val="00C519CB"/>
    <w:rsid w:val="00C6330B"/>
    <w:rsid w:val="00C6639D"/>
    <w:rsid w:val="00C765AF"/>
    <w:rsid w:val="00C874D4"/>
    <w:rsid w:val="00C97D5E"/>
    <w:rsid w:val="00CA7D89"/>
    <w:rsid w:val="00CB17F6"/>
    <w:rsid w:val="00CB6D83"/>
    <w:rsid w:val="00CB7F9A"/>
    <w:rsid w:val="00CC59E5"/>
    <w:rsid w:val="00CC6C2B"/>
    <w:rsid w:val="00CE2E31"/>
    <w:rsid w:val="00D01A43"/>
    <w:rsid w:val="00D179DB"/>
    <w:rsid w:val="00D306B0"/>
    <w:rsid w:val="00D42D60"/>
    <w:rsid w:val="00D63D94"/>
    <w:rsid w:val="00D65194"/>
    <w:rsid w:val="00D7201A"/>
    <w:rsid w:val="00D811FE"/>
    <w:rsid w:val="00D82E77"/>
    <w:rsid w:val="00D85316"/>
    <w:rsid w:val="00D919F7"/>
    <w:rsid w:val="00DB3315"/>
    <w:rsid w:val="00DC20A7"/>
    <w:rsid w:val="00DC3346"/>
    <w:rsid w:val="00DC7F74"/>
    <w:rsid w:val="00DE1D3F"/>
    <w:rsid w:val="00DE2997"/>
    <w:rsid w:val="00DF4DDA"/>
    <w:rsid w:val="00E00761"/>
    <w:rsid w:val="00E06338"/>
    <w:rsid w:val="00E07F0D"/>
    <w:rsid w:val="00E158BF"/>
    <w:rsid w:val="00E2066A"/>
    <w:rsid w:val="00E214C6"/>
    <w:rsid w:val="00E3418F"/>
    <w:rsid w:val="00E36060"/>
    <w:rsid w:val="00E552C8"/>
    <w:rsid w:val="00E60D1D"/>
    <w:rsid w:val="00E63F1A"/>
    <w:rsid w:val="00E730B7"/>
    <w:rsid w:val="00E76666"/>
    <w:rsid w:val="00EA1C29"/>
    <w:rsid w:val="00EC11BC"/>
    <w:rsid w:val="00EC4E60"/>
    <w:rsid w:val="00ED4C0F"/>
    <w:rsid w:val="00EF2D3A"/>
    <w:rsid w:val="00F00F05"/>
    <w:rsid w:val="00F06FDB"/>
    <w:rsid w:val="00F263D1"/>
    <w:rsid w:val="00F34562"/>
    <w:rsid w:val="00F4245E"/>
    <w:rsid w:val="00F554C2"/>
    <w:rsid w:val="00F64487"/>
    <w:rsid w:val="00F813ED"/>
    <w:rsid w:val="00F842D6"/>
    <w:rsid w:val="00F909D7"/>
    <w:rsid w:val="00F9618E"/>
    <w:rsid w:val="00FC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7B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B7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B73F8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8"/>
      <w:lang w:eastAsia="en-US"/>
    </w:rPr>
  </w:style>
  <w:style w:type="paragraph" w:customStyle="1" w:styleId="ConsPlusNormal">
    <w:name w:val="ConsPlusNormal"/>
    <w:rsid w:val="006B7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364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9C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11E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7B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B7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B73F8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8"/>
      <w:lang w:eastAsia="en-US"/>
    </w:rPr>
  </w:style>
  <w:style w:type="paragraph" w:customStyle="1" w:styleId="ConsPlusNormal">
    <w:name w:val="ConsPlusNormal"/>
    <w:rsid w:val="006B7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364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9C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11E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0F7D6-6DB1-4AB0-91EF-5C1B839A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Ивашкевич Ирина Иосифовна</dc:creator>
  <cp:lastModifiedBy>Борисова Наталья Олеговна</cp:lastModifiedBy>
  <cp:revision>2</cp:revision>
  <cp:lastPrinted>2024-02-27T08:43:00Z</cp:lastPrinted>
  <dcterms:created xsi:type="dcterms:W3CDTF">2024-09-03T07:14:00Z</dcterms:created>
  <dcterms:modified xsi:type="dcterms:W3CDTF">2024-09-03T07:14:00Z</dcterms:modified>
</cp:coreProperties>
</file>