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64" w:rsidRDefault="008E1364">
      <w:pPr>
        <w:pStyle w:val="ConsPlusNormal"/>
        <w:outlineLvl w:val="0"/>
      </w:pPr>
      <w:bookmarkStart w:id="0" w:name="_GoBack"/>
      <w:bookmarkEnd w:id="0"/>
    </w:p>
    <w:p w:rsidR="008E1364" w:rsidRPr="00AD2E45" w:rsidRDefault="008E1364" w:rsidP="008E1364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Cs w:val="28"/>
        </w:rPr>
      </w:pPr>
      <w:r w:rsidRPr="00AD2E45">
        <w:rPr>
          <w:rFonts w:eastAsiaTheme="minorEastAsia"/>
          <w:color w:val="000000" w:themeColor="text1"/>
          <w:szCs w:val="28"/>
        </w:rPr>
        <w:t>ПРОЕКТ</w:t>
      </w:r>
    </w:p>
    <w:p w:rsidR="008E1364" w:rsidRPr="00AD2E45" w:rsidRDefault="008E1364" w:rsidP="008E1364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Cs w:val="28"/>
        </w:rPr>
      </w:pPr>
    </w:p>
    <w:p w:rsidR="008E1364" w:rsidRPr="00AD2E45" w:rsidRDefault="008E1364" w:rsidP="008E1364">
      <w:pPr>
        <w:widowControl w:val="0"/>
        <w:autoSpaceDE w:val="0"/>
        <w:autoSpaceDN w:val="0"/>
        <w:jc w:val="center"/>
        <w:outlineLvl w:val="0"/>
        <w:rPr>
          <w:rFonts w:eastAsiaTheme="minorEastAsia"/>
          <w:b/>
          <w:color w:val="000000" w:themeColor="text1"/>
          <w:szCs w:val="28"/>
        </w:rPr>
      </w:pPr>
      <w:r w:rsidRPr="00AD2E45">
        <w:rPr>
          <w:rFonts w:eastAsiaTheme="minorEastAsia"/>
          <w:b/>
          <w:color w:val="000000" w:themeColor="text1"/>
          <w:szCs w:val="28"/>
        </w:rPr>
        <w:t>ПРАВИТЕЛЬСТВО ЛЕНИНГРАДСКОЙ ОБЛАСТИ</w:t>
      </w: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Cs w:val="28"/>
        </w:rPr>
      </w:pP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Cs w:val="28"/>
        </w:rPr>
      </w:pPr>
      <w:r w:rsidRPr="00AD2E45">
        <w:rPr>
          <w:rFonts w:eastAsiaTheme="minorEastAsia"/>
          <w:b/>
          <w:color w:val="000000" w:themeColor="text1"/>
          <w:szCs w:val="28"/>
        </w:rPr>
        <w:t>ПОСТАНОВЛЕНИЕ</w:t>
      </w: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Cs w:val="28"/>
        </w:rPr>
      </w:pP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Cs w:val="28"/>
        </w:rPr>
      </w:pPr>
      <w:r w:rsidRPr="00AD2E45">
        <w:rPr>
          <w:rFonts w:eastAsiaTheme="minorEastAsia"/>
          <w:color w:val="000000" w:themeColor="text1"/>
          <w:szCs w:val="28"/>
        </w:rPr>
        <w:t>от _________ 202</w:t>
      </w:r>
      <w:r>
        <w:rPr>
          <w:rFonts w:eastAsiaTheme="minorEastAsia"/>
          <w:color w:val="000000" w:themeColor="text1"/>
          <w:szCs w:val="28"/>
        </w:rPr>
        <w:t>5</w:t>
      </w:r>
      <w:r w:rsidRPr="00AD2E45">
        <w:rPr>
          <w:rFonts w:eastAsiaTheme="minorEastAsia"/>
          <w:color w:val="000000" w:themeColor="text1"/>
          <w:szCs w:val="28"/>
        </w:rPr>
        <w:t xml:space="preserve"> года № _______</w:t>
      </w:r>
    </w:p>
    <w:p w:rsidR="008E1364" w:rsidRPr="00AD2E45" w:rsidRDefault="008E1364" w:rsidP="008E1364">
      <w:pPr>
        <w:spacing w:line="340" w:lineRule="exact"/>
        <w:jc w:val="center"/>
        <w:rPr>
          <w:color w:val="000000" w:themeColor="text1"/>
          <w:szCs w:val="28"/>
        </w:rPr>
      </w:pPr>
    </w:p>
    <w:p w:rsidR="008E1364" w:rsidRDefault="008E1364" w:rsidP="008E1364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О внесении изменений в постановление Правительства Ленинградской области от </w:t>
      </w:r>
      <w:r w:rsidR="006B50A3">
        <w:rPr>
          <w:b/>
          <w:bCs/>
          <w:color w:val="000000" w:themeColor="text1"/>
          <w:szCs w:val="28"/>
        </w:rPr>
        <w:t>30</w:t>
      </w:r>
      <w:r>
        <w:rPr>
          <w:b/>
          <w:bCs/>
          <w:color w:val="000000" w:themeColor="text1"/>
          <w:szCs w:val="28"/>
        </w:rPr>
        <w:t xml:space="preserve"> </w:t>
      </w:r>
      <w:r w:rsidR="006B50A3">
        <w:rPr>
          <w:b/>
          <w:bCs/>
          <w:color w:val="000000" w:themeColor="text1"/>
          <w:szCs w:val="28"/>
        </w:rPr>
        <w:t>сентября 2019 года № 442</w:t>
      </w:r>
      <w:r>
        <w:rPr>
          <w:b/>
          <w:bCs/>
          <w:color w:val="000000" w:themeColor="text1"/>
          <w:szCs w:val="28"/>
        </w:rPr>
        <w:t xml:space="preserve"> </w:t>
      </w:r>
    </w:p>
    <w:p w:rsidR="008E1364" w:rsidRDefault="008E1364" w:rsidP="008E1364">
      <w:pPr>
        <w:jc w:val="center"/>
        <w:rPr>
          <w:b/>
          <w:bCs/>
          <w:color w:val="000000" w:themeColor="text1"/>
          <w:szCs w:val="28"/>
        </w:rPr>
      </w:pPr>
    </w:p>
    <w:p w:rsidR="008E1364" w:rsidRPr="00DB7133" w:rsidRDefault="00D01C14" w:rsidP="008E13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DA">
        <w:rPr>
          <w:rFonts w:ascii="Times New Roman" w:hAnsi="Times New Roman" w:cs="Times New Roman"/>
          <w:sz w:val="28"/>
          <w:szCs w:val="28"/>
        </w:rPr>
        <w:t xml:space="preserve">В </w:t>
      </w:r>
      <w:r w:rsidRPr="00DB7133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в соответствие с действующим законодательством </w:t>
      </w:r>
      <w:r w:rsidR="008E1364" w:rsidRPr="00DB7133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  <w:r w:rsidRPr="00DB7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5DA" w:rsidRPr="00DB7133" w:rsidRDefault="00BD25DA" w:rsidP="006B50A3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1364" w:rsidRPr="00DB7133" w:rsidRDefault="008E1364" w:rsidP="006B50A3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Внести в</w:t>
      </w:r>
      <w:r w:rsidR="00F85596" w:rsidRPr="00DB7133">
        <w:rPr>
          <w:rFonts w:ascii="Times New Roman" w:hAnsi="Times New Roman" w:cs="Times New Roman"/>
          <w:sz w:val="28"/>
          <w:szCs w:val="28"/>
        </w:rPr>
        <w:t xml:space="preserve"> государственную программу</w:t>
      </w:r>
      <w:r w:rsidR="005518CC" w:rsidRPr="00DB713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F85596" w:rsidRPr="00DB7133">
        <w:rPr>
          <w:rFonts w:ascii="Times New Roman" w:hAnsi="Times New Roman" w:cs="Times New Roman"/>
          <w:sz w:val="28"/>
          <w:szCs w:val="28"/>
        </w:rPr>
        <w:t xml:space="preserve"> «Развитие внутреннего и въездного туризма в Ленинградской области», утвержденную</w:t>
      </w:r>
      <w:r w:rsidRPr="00DB713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F85596" w:rsidRPr="00DB7133">
        <w:rPr>
          <w:rFonts w:ascii="Times New Roman" w:hAnsi="Times New Roman" w:cs="Times New Roman"/>
          <w:sz w:val="28"/>
          <w:szCs w:val="28"/>
        </w:rPr>
        <w:t>м</w:t>
      </w:r>
      <w:r w:rsidRPr="00DB7133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</w:t>
      </w:r>
      <w:r w:rsidR="006B50A3" w:rsidRPr="00DB7133">
        <w:rPr>
          <w:rFonts w:ascii="Times New Roman" w:hAnsi="Times New Roman" w:cs="Times New Roman"/>
          <w:sz w:val="28"/>
          <w:szCs w:val="28"/>
        </w:rPr>
        <w:t>30</w:t>
      </w:r>
      <w:r w:rsidRPr="00DB7133">
        <w:rPr>
          <w:rFonts w:ascii="Times New Roman" w:hAnsi="Times New Roman" w:cs="Times New Roman"/>
          <w:sz w:val="28"/>
          <w:szCs w:val="28"/>
        </w:rPr>
        <w:t xml:space="preserve"> </w:t>
      </w:r>
      <w:r w:rsidR="006B50A3" w:rsidRPr="00DB713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DB7133">
        <w:rPr>
          <w:rFonts w:ascii="Times New Roman" w:hAnsi="Times New Roman" w:cs="Times New Roman"/>
          <w:sz w:val="28"/>
          <w:szCs w:val="28"/>
        </w:rPr>
        <w:t>20</w:t>
      </w:r>
      <w:r w:rsidR="006B50A3" w:rsidRPr="00DB7133">
        <w:rPr>
          <w:rFonts w:ascii="Times New Roman" w:hAnsi="Times New Roman" w:cs="Times New Roman"/>
          <w:sz w:val="28"/>
          <w:szCs w:val="28"/>
        </w:rPr>
        <w:t>19</w:t>
      </w:r>
      <w:r w:rsidRPr="00DB713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B50A3" w:rsidRPr="00DB7133">
        <w:rPr>
          <w:rFonts w:ascii="Times New Roman" w:hAnsi="Times New Roman" w:cs="Times New Roman"/>
          <w:sz w:val="28"/>
          <w:szCs w:val="28"/>
        </w:rPr>
        <w:t>442</w:t>
      </w:r>
      <w:r w:rsidR="005518CC" w:rsidRPr="00DB7133">
        <w:rPr>
          <w:rFonts w:ascii="Times New Roman" w:hAnsi="Times New Roman" w:cs="Times New Roman"/>
          <w:sz w:val="28"/>
          <w:szCs w:val="28"/>
        </w:rPr>
        <w:t>,</w:t>
      </w:r>
      <w:r w:rsidRPr="00DB7133">
        <w:rPr>
          <w:rFonts w:ascii="Times New Roman" w:hAnsi="Times New Roman" w:cs="Times New Roman"/>
          <w:sz w:val="28"/>
          <w:szCs w:val="28"/>
        </w:rPr>
        <w:t xml:space="preserve"> </w:t>
      </w:r>
      <w:r w:rsidR="00A01B25" w:rsidRPr="00DB7133">
        <w:rPr>
          <w:rFonts w:ascii="Times New Roman" w:hAnsi="Times New Roman" w:cs="Times New Roman"/>
          <w:bCs/>
          <w:sz w:val="28"/>
          <w:szCs w:val="28"/>
        </w:rPr>
        <w:t>изменения согласно приложению к настоящему постановлению.</w:t>
      </w:r>
    </w:p>
    <w:p w:rsidR="008E1364" w:rsidRPr="00DB7133" w:rsidRDefault="0054165F" w:rsidP="008E13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2</w:t>
      </w:r>
      <w:r w:rsidR="008E1364" w:rsidRPr="00DB71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официального опубликования.</w:t>
      </w:r>
    </w:p>
    <w:p w:rsidR="00C9580A" w:rsidRPr="00DB7133" w:rsidRDefault="00C9580A" w:rsidP="008E13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Губернатор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А.</w:t>
      </w:r>
      <w:r w:rsidR="00DD4AF7" w:rsidRPr="00DB7133">
        <w:rPr>
          <w:rFonts w:ascii="Times New Roman" w:hAnsi="Times New Roman" w:cs="Times New Roman"/>
          <w:sz w:val="28"/>
          <w:szCs w:val="28"/>
        </w:rPr>
        <w:t xml:space="preserve"> </w:t>
      </w:r>
      <w:r w:rsidRPr="00DB7133">
        <w:rPr>
          <w:rFonts w:ascii="Times New Roman" w:hAnsi="Times New Roman" w:cs="Times New Roman"/>
          <w:sz w:val="28"/>
          <w:szCs w:val="28"/>
        </w:rPr>
        <w:t>Дрозденко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DB7133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DB7133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DB7133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DB7133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DB7133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DB7133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A3" w:rsidRPr="00DB7133" w:rsidRDefault="006B50A3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A3" w:rsidRPr="00DB7133" w:rsidRDefault="006B50A3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A3" w:rsidRPr="00DB7133" w:rsidRDefault="006B50A3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A3" w:rsidRPr="00DB7133" w:rsidRDefault="006B50A3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A3" w:rsidRPr="00DB7133" w:rsidRDefault="006B50A3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A3" w:rsidRPr="00DB7133" w:rsidRDefault="006B50A3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A3" w:rsidRPr="00DB7133" w:rsidRDefault="006B50A3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165F" w:rsidRPr="00DB7133" w:rsidRDefault="0054165F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165F" w:rsidRPr="00DB7133" w:rsidRDefault="0054165F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165F" w:rsidRPr="00DB7133" w:rsidRDefault="0054165F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DB7133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364" w:rsidRPr="00DB7133" w:rsidRDefault="008E1364" w:rsidP="008E13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УТВЕРЖДЕН</w:t>
      </w:r>
      <w:r w:rsidR="00B05B16" w:rsidRPr="00DB7133">
        <w:rPr>
          <w:rFonts w:ascii="Times New Roman" w:hAnsi="Times New Roman" w:cs="Times New Roman"/>
          <w:sz w:val="28"/>
          <w:szCs w:val="28"/>
        </w:rPr>
        <w:t>Ы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B05B16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 xml:space="preserve">от </w:t>
      </w:r>
      <w:r w:rsidR="00B05B16" w:rsidRPr="00DB7133">
        <w:rPr>
          <w:rFonts w:ascii="Times New Roman" w:hAnsi="Times New Roman" w:cs="Times New Roman"/>
          <w:sz w:val="28"/>
          <w:szCs w:val="28"/>
        </w:rPr>
        <w:t>_______</w:t>
      </w:r>
      <w:r w:rsidRPr="00DB7133">
        <w:rPr>
          <w:rFonts w:ascii="Times New Roman" w:hAnsi="Times New Roman" w:cs="Times New Roman"/>
          <w:sz w:val="28"/>
          <w:szCs w:val="28"/>
        </w:rPr>
        <w:t xml:space="preserve"> </w:t>
      </w:r>
      <w:r w:rsidR="00B05B16" w:rsidRPr="00DB7133">
        <w:rPr>
          <w:rFonts w:ascii="Times New Roman" w:hAnsi="Times New Roman" w:cs="Times New Roman"/>
          <w:sz w:val="28"/>
          <w:szCs w:val="28"/>
        </w:rPr>
        <w:t>№ ________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(приложение)</w:t>
      </w:r>
    </w:p>
    <w:p w:rsidR="008E1364" w:rsidRPr="00DB7133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3C03" w:rsidRPr="00DB7133" w:rsidRDefault="00B05B16" w:rsidP="00B05B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B05B16" w:rsidRPr="00DB7133" w:rsidRDefault="00B05B16" w:rsidP="00B05B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F85596" w:rsidRPr="00DB7133">
        <w:rPr>
          <w:rFonts w:ascii="Times New Roman" w:hAnsi="Times New Roman" w:cs="Times New Roman"/>
          <w:sz w:val="28"/>
          <w:szCs w:val="28"/>
        </w:rPr>
        <w:t xml:space="preserve">государственную программу </w:t>
      </w:r>
      <w:r w:rsidR="00693C03" w:rsidRPr="00DB7133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F85596" w:rsidRPr="00DB7133">
        <w:rPr>
          <w:rFonts w:ascii="Times New Roman" w:hAnsi="Times New Roman" w:cs="Times New Roman"/>
          <w:sz w:val="28"/>
          <w:szCs w:val="28"/>
        </w:rPr>
        <w:t xml:space="preserve">«Развитие внутреннего и въездного туризма в Ленинградской области», утвержденную </w:t>
      </w:r>
      <w:r w:rsidR="00A01B25" w:rsidRPr="00DB7133">
        <w:rPr>
          <w:rFonts w:ascii="Times New Roman" w:hAnsi="Times New Roman" w:cs="Times New Roman"/>
          <w:sz w:val="28"/>
          <w:szCs w:val="28"/>
        </w:rPr>
        <w:t>постановление</w:t>
      </w:r>
      <w:r w:rsidR="00F85596" w:rsidRPr="00DB7133">
        <w:rPr>
          <w:rFonts w:ascii="Times New Roman" w:hAnsi="Times New Roman" w:cs="Times New Roman"/>
          <w:sz w:val="28"/>
          <w:szCs w:val="28"/>
        </w:rPr>
        <w:t>м</w:t>
      </w:r>
      <w:r w:rsidR="00A01B25" w:rsidRPr="00DB7133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6B50A3" w:rsidRPr="00DB7133">
        <w:rPr>
          <w:rFonts w:ascii="Times New Roman" w:hAnsi="Times New Roman" w:cs="Times New Roman"/>
          <w:sz w:val="28"/>
          <w:szCs w:val="28"/>
        </w:rPr>
        <w:t xml:space="preserve">от 30 сентября 2019 года № 442 </w:t>
      </w:r>
    </w:p>
    <w:p w:rsidR="00B05B16" w:rsidRPr="00DB7133" w:rsidRDefault="00B05B16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7D4F" w:rsidRPr="00DB7133" w:rsidRDefault="005706D2" w:rsidP="000A7D4F">
      <w:pPr>
        <w:pStyle w:val="a5"/>
        <w:numPr>
          <w:ilvl w:val="0"/>
          <w:numId w:val="5"/>
        </w:numPr>
        <w:tabs>
          <w:tab w:val="left" w:pos="-284"/>
          <w:tab w:val="left" w:pos="993"/>
        </w:tabs>
        <w:ind w:left="0" w:firstLine="567"/>
        <w:jc w:val="both"/>
        <w:rPr>
          <w:bCs/>
          <w:color w:val="000000" w:themeColor="text1"/>
          <w:szCs w:val="28"/>
        </w:rPr>
      </w:pPr>
      <w:r w:rsidRPr="00DB7133">
        <w:rPr>
          <w:bCs/>
          <w:color w:val="000000" w:themeColor="text1"/>
          <w:szCs w:val="28"/>
        </w:rPr>
        <w:t>В приложении 2</w:t>
      </w:r>
      <w:r w:rsidR="000A7D4F" w:rsidRPr="00DB7133">
        <w:rPr>
          <w:bCs/>
          <w:color w:val="000000" w:themeColor="text1"/>
          <w:szCs w:val="28"/>
        </w:rPr>
        <w:t xml:space="preserve"> (Порядок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</w:t>
      </w:r>
      <w:r w:rsidRPr="00DB7133">
        <w:rPr>
          <w:bCs/>
          <w:color w:val="000000" w:themeColor="text1"/>
          <w:szCs w:val="28"/>
        </w:rPr>
        <w:t xml:space="preserve"> обустройству туристского центра города на территории муниципальных образований Ленинградской области в соответствии с туристским кодом центра города</w:t>
      </w:r>
      <w:r w:rsidR="000A7D4F" w:rsidRPr="00DB7133">
        <w:rPr>
          <w:bCs/>
          <w:color w:val="000000" w:themeColor="text1"/>
          <w:szCs w:val="28"/>
        </w:rPr>
        <w:t>):</w:t>
      </w:r>
    </w:p>
    <w:p w:rsidR="00A215C3" w:rsidRPr="00DB7133" w:rsidRDefault="0054165F" w:rsidP="0054165F">
      <w:pPr>
        <w:pStyle w:val="ConsPlusNormal"/>
        <w:numPr>
          <w:ilvl w:val="0"/>
          <w:numId w:val="6"/>
        </w:numPr>
        <w:tabs>
          <w:tab w:val="left" w:pos="-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п</w:t>
      </w:r>
      <w:r w:rsidR="000A7D4F" w:rsidRPr="00DB7133">
        <w:rPr>
          <w:rFonts w:ascii="Times New Roman" w:hAnsi="Times New Roman" w:cs="Times New Roman"/>
          <w:sz w:val="28"/>
          <w:szCs w:val="28"/>
        </w:rPr>
        <w:t>ункт</w:t>
      </w:r>
      <w:r w:rsidR="005706D2" w:rsidRPr="00DB7133">
        <w:rPr>
          <w:rFonts w:ascii="Times New Roman" w:hAnsi="Times New Roman" w:cs="Times New Roman"/>
          <w:sz w:val="28"/>
          <w:szCs w:val="28"/>
        </w:rPr>
        <w:t xml:space="preserve"> 2</w:t>
      </w:r>
      <w:r w:rsidR="000A7D4F" w:rsidRPr="00DB7133">
        <w:rPr>
          <w:rFonts w:ascii="Times New Roman" w:hAnsi="Times New Roman" w:cs="Times New Roman"/>
          <w:sz w:val="28"/>
          <w:szCs w:val="28"/>
        </w:rPr>
        <w:t>.1</w:t>
      </w:r>
      <w:r w:rsidR="002663F4" w:rsidRPr="00DB7133">
        <w:rPr>
          <w:rFonts w:ascii="Times New Roman" w:hAnsi="Times New Roman" w:cs="Times New Roman"/>
          <w:sz w:val="28"/>
          <w:szCs w:val="28"/>
        </w:rPr>
        <w:t xml:space="preserve"> </w:t>
      </w:r>
      <w:r w:rsidR="005706D2" w:rsidRPr="00DB7133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A215C3" w:rsidRPr="00DB7133">
        <w:rPr>
          <w:rFonts w:ascii="Times New Roman" w:hAnsi="Times New Roman" w:cs="Times New Roman"/>
          <w:sz w:val="28"/>
          <w:szCs w:val="28"/>
        </w:rPr>
        <w:t>:</w:t>
      </w:r>
    </w:p>
    <w:p w:rsidR="0054165F" w:rsidRPr="005706D2" w:rsidRDefault="002663F4" w:rsidP="0054165F">
      <w:pPr>
        <w:pStyle w:val="ConsPlusNormal"/>
        <w:tabs>
          <w:tab w:val="left" w:pos="-284"/>
          <w:tab w:val="left" w:pos="1134"/>
        </w:tabs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DB7133">
        <w:rPr>
          <w:rFonts w:ascii="Times New Roman" w:hAnsi="Times New Roman" w:cs="Times New Roman"/>
          <w:sz w:val="28"/>
          <w:szCs w:val="28"/>
        </w:rPr>
        <w:t>«</w:t>
      </w:r>
      <w:r w:rsidR="005706D2" w:rsidRPr="00DB7133">
        <w:rPr>
          <w:rFonts w:ascii="Times New Roman" w:hAnsi="Times New Roman" w:cs="Times New Roman"/>
          <w:sz w:val="28"/>
          <w:szCs w:val="28"/>
        </w:rPr>
        <w:t>Субсидия предоставляется муниципальным образованиям с населением от 1,5 тыс. до 2 млн человек, расположенных на территории ленинградской области и имеющих в своем составе кварталы исторической застройки на площади до 100 га с размещенными в ее границах объектами туристского притяжения, обладающими благоприятными условиями для посещения и объединенными в единое привлекательное архитектурно-культурное пространство</w:t>
      </w:r>
      <w:r w:rsidR="00A215C3" w:rsidRPr="00DB7133">
        <w:rPr>
          <w:rFonts w:ascii="Times New Roman" w:hAnsi="Times New Roman" w:cs="Times New Roman"/>
          <w:sz w:val="28"/>
          <w:szCs w:val="28"/>
        </w:rPr>
        <w:t>.».</w:t>
      </w:r>
    </w:p>
    <w:p w:rsidR="00AD0A8F" w:rsidRPr="005706D2" w:rsidRDefault="005706D2" w:rsidP="0054165F">
      <w:pPr>
        <w:pStyle w:val="ConsPlusNormal"/>
        <w:numPr>
          <w:ilvl w:val="0"/>
          <w:numId w:val="6"/>
        </w:numPr>
        <w:tabs>
          <w:tab w:val="left" w:pos="-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</w:t>
      </w:r>
      <w:r w:rsidR="0054165F" w:rsidRPr="005706D2">
        <w:rPr>
          <w:rFonts w:ascii="Times New Roman" w:hAnsi="Times New Roman" w:cs="Times New Roman"/>
          <w:sz w:val="28"/>
          <w:szCs w:val="28"/>
        </w:rPr>
        <w:t>п</w:t>
      </w:r>
      <w:r w:rsidR="00DD4AF7" w:rsidRPr="005706D2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3.3</w:t>
      </w:r>
      <w:r w:rsidR="00DD4AF7" w:rsidRPr="005706D2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</w:t>
      </w:r>
      <w:r w:rsidR="00FA6C81" w:rsidRPr="005706D2">
        <w:rPr>
          <w:rFonts w:ascii="Times New Roman" w:hAnsi="Times New Roman" w:cs="Times New Roman"/>
          <w:sz w:val="28"/>
          <w:szCs w:val="28"/>
        </w:rPr>
        <w:t xml:space="preserve"> </w:t>
      </w:r>
      <w:r w:rsidR="00AD0A8F" w:rsidRPr="005706D2">
        <w:rPr>
          <w:rFonts w:ascii="Times New Roman" w:hAnsi="Times New Roman" w:cs="Times New Roman"/>
          <w:sz w:val="28"/>
          <w:szCs w:val="28"/>
        </w:rPr>
        <w:t>:</w:t>
      </w:r>
    </w:p>
    <w:p w:rsidR="005706D2" w:rsidRDefault="00DD4AF7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«</w:t>
      </w:r>
      <w:r w:rsidR="005706D2">
        <w:rPr>
          <w:rFonts w:ascii="Times New Roman" w:hAnsi="Times New Roman" w:cs="Times New Roman"/>
          <w:sz w:val="28"/>
          <w:szCs w:val="28"/>
        </w:rPr>
        <w:t>4) проект (мастер-план), содержащий:</w:t>
      </w:r>
    </w:p>
    <w:p w:rsid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пояснительную записку, содержащую: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расположенных на территории туристского центра города объектах туристского притяжения, концентрации объектов показа (памятников истории и культуры, музеев, панорамных площадок, прогулочных и парковых зон, гостиниц, пешеходных улиц, зон торговли туристскими продуктами)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характеристику застройки территории туристского центра города и перечень архитектурно и исторически ценных градоформирующих объектов с точки зрения туриста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существующей планировочной структуры, ее элементов и возможности дальнейшего развития (уличной сети, пешеходно-ориентированной части кварталов и их частей) в целях обеспечения доступности и связанности основных туристских ресурсов в границах туристского центра города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соотношения между пространствами туристского центра (свободными, готовыми к освобождению, застроенными, озелененными)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анализа композиционно-видовых связей туристского центра (панорам)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существующих туристских связей, системы пересечения потоков (туристов, горожан, предприятий, эксплуатационных служб)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и зон концентрации туристского потока в границах туристского центра города в текущем и прогнозном состоянии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концентрации туристских ресурсов на единицу площади с учетом нанесения на карту при условии сопоставимой удаленности объектов друг от друга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размещения общедоступных пешеходных улиц, зон отдыха, парков, мест проведения публичных мероприятий в границах выделенной территории туристского центра города, а также территорий, потенциально пригодных для данных видов использования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отсутствии в границах туристского центра города объектов и территорий, к которым невозможно обеспечить качественную и безопасную доступность и беспрепятственное использование неограниченным кругом лиц, а также объектов, недоступных для публичного посещения, требующих специальных условий сохранений и обслуживания (объектов охраны и объектов закрытого или ограниченного доступа)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отсутствии на территории туристского центра города участков, расположенных вблизи источников экологического загрязнения, препятствующих комфортному использованию территорий (до границ обеспечения приемлемых показателей качества окружающей среды)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отсутствии туристских ресурсов и объектов посещения, находящихся в аварийном состоянии, в том числе в случае непригодности или нецелесообразности восстановления в границах территории туристского центра, либо об обеспечении их временной блокировки для посещения туристами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4165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фокусном размещении (концентрации) до 60 процентов всех объектов туристского показа, расположенных в границах соответствующего муниципального образования, в границах туристического центра города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Default="005706D2" w:rsidP="0054165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комплекс запланированных мероприятий по обустройству территории туристского центра города с учетом обеспечения наличия и качественного функционирования следующих объектов туристской инфраструктуры в границах туристского центра города: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классифицированные гостиницы, включая центральную гостиницу города и (или) исторические, бутик- и дизайн-отели, отражающие аутентичность муниципального образования;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объекты общественного питания разного ценового уровня, включая обязательное наличие ресторана локальной кухни (при производстве блюд, в которых используется преимущественно сельскохозяйственная продукция, произведенная не далее 200 километров от месторасположения ресторана);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 xml:space="preserve">объекты общественного питания для туристов, включая кофейни с </w:t>
      </w:r>
      <w:r w:rsidRPr="005706D2">
        <w:rPr>
          <w:rFonts w:ascii="Times New Roman" w:hAnsi="Times New Roman" w:cs="Times New Roman"/>
          <w:sz w:val="28"/>
          <w:szCs w:val="28"/>
        </w:rPr>
        <w:lastRenderedPageBreak/>
        <w:t>обеспечением графика работы с 8 утра, и объекты общественного питания с возможностью оказания услуг для туристской группы от 60 человек одновременно;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туристские информационные центры, оснащение публичных сенсорных информационных терминалов и инфокиосков, цифровых стендов, пилонов и иных интерактивных решений нового поколения в удобной доступности для туристов,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маломобильных групп;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система туристской навигации, включая указатели на русском и английском языках на все объекты по</w:t>
      </w:r>
      <w:r>
        <w:rPr>
          <w:rFonts w:ascii="Times New Roman" w:hAnsi="Times New Roman" w:cs="Times New Roman"/>
          <w:sz w:val="28"/>
          <w:szCs w:val="28"/>
        </w:rPr>
        <w:t>каза туристского центра города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информационная, интегрированная с цифровыми решениями туристская экскурсионная навигация, в том числе для туристов с ограниченными возможностями здоровья, включая матричные штрихкоды (QR-коды) на ключевых объектах показа с возможностью перехода на соответствующие платформы, предоставляющие туристам в текстовом и (или) аудиоформате и (или) на жестовом языке круглосуточное сопровождение путевой и иной экскурсионно-познавательной информацией с применением языковой адаптации;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центральный рынок и (или) рынок выходного дня как стилизованный интегрированный коммерческий объект, включающий пространства для реализации продукции местных сельхозпроизводителей и (или) производителей локальных товаров народно-художественных промыслов и сувенирной продукции, а также предприятия общественного питания в целях проведения гастрономических событий и дегустаций;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выделенные площадки в целях проведения в соответствии с отдельной дорожной картой городских ярмарок в границах туристского центра города, а также сезонных и (или) культурно-массовых мероприятий, привлекаю</w:t>
      </w:r>
      <w:r>
        <w:rPr>
          <w:rFonts w:ascii="Times New Roman" w:hAnsi="Times New Roman" w:cs="Times New Roman"/>
          <w:sz w:val="28"/>
          <w:szCs w:val="28"/>
        </w:rPr>
        <w:t>щих жителей города и туристов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круглогодичные всепогодные вандалоустойчивые малые архитектурные формы, включая уличные арт-объекты и фотозоны, подчеркивающие уникальную идентичность города, а также не менее одной смотровой панорамной площадки с уличными биноклями;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выделенные парковки туристических автобусов и городского легкового такси и размещение соответствующих дорожных знаков;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сеть общественных всесезонных туалетов (санитарных зон), пользование которыми должно осуществляться на безвозмездной или низкомаржинальной основе, в том числе с применением механизмов государственно-частного партнерства;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система раздельного сбора мусора в местах расположения объектов туристского посещения;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помещения для торговли товарами, актуальными для туристов и жителей, включая товары локальных дизайнеров и производителей сувениров и иных товаров, офисы турагентств и туроператоров, круглосуточные аптеки и банкоматы в свободном доступе (включая сервисы по обмену валюты, снятию наличных денежных средств);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 xml:space="preserve">безопасная сеть туристских прогулочных маршрутов, включая </w:t>
      </w:r>
      <w:r w:rsidRPr="005706D2">
        <w:rPr>
          <w:rFonts w:ascii="Times New Roman" w:hAnsi="Times New Roman" w:cs="Times New Roman"/>
          <w:sz w:val="28"/>
          <w:szCs w:val="28"/>
        </w:rPr>
        <w:lastRenderedPageBreak/>
        <w:t>пешеходное уличное пространство без автомобильного движения в границах туристского центра города;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маршруты безопасного велосипедного передвижения в границах туристского центра города, включая размещение объектов сервиса и проката велосипедов и связанного оборудования, сеть велопарковок;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адаптированный для горожан и туристов транспорт;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декоративная фасадная подсветка зданий, формирующих привлекательный облик туристского центра города;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разработка специальных решений по выражению идентичности местного сообщества (туристского бренда города, поселения, муниципального образования) как нематериального актива, связанного с туристским центром города, совместно с локальными сообществами, ассоциациями дизайнеров и архитекторов, краеведами, молоды</w:t>
      </w:r>
      <w:r>
        <w:rPr>
          <w:rFonts w:ascii="Times New Roman" w:hAnsi="Times New Roman" w:cs="Times New Roman"/>
          <w:sz w:val="28"/>
          <w:szCs w:val="28"/>
        </w:rPr>
        <w:t>ми профессионалами</w:t>
      </w:r>
      <w:r w:rsidRPr="005706D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06D2">
        <w:rPr>
          <w:rFonts w:ascii="Times New Roman" w:hAnsi="Times New Roman" w:cs="Times New Roman"/>
          <w:sz w:val="28"/>
          <w:szCs w:val="28"/>
        </w:rPr>
        <w:t xml:space="preserve"> указанные решения могут входить названия, и (или) термины, и (или) символы, и (или) изображения, и (или) логотипы, и (или) дизайн-стандарты (регламенты), использующиеся для подчеркивания уникальности и формирования привлекательности туристского центра города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система безопасности пребывания туристов в границах туристского центра города, включая, но не ограничиваясь системой "тревожная кнопка", мобильными постами полиции;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D2">
        <w:rPr>
          <w:rFonts w:ascii="Times New Roman" w:hAnsi="Times New Roman" w:cs="Times New Roman"/>
          <w:sz w:val="28"/>
          <w:szCs w:val="28"/>
        </w:rPr>
        <w:t>бесперебойно функционирующие элементы доступной среды, приспособленные для нужд лиц с ограниченными возможностями здоровья, в том числе поручни, подъемники, пандусы, сигнальные устройства (визуальные, звуковые, тактильные и прочие средства ориентации, и</w:t>
      </w:r>
      <w:r>
        <w:rPr>
          <w:rFonts w:ascii="Times New Roman" w:hAnsi="Times New Roman" w:cs="Times New Roman"/>
          <w:sz w:val="28"/>
          <w:szCs w:val="28"/>
        </w:rPr>
        <w:t>нформации и сигнализации)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706D2" w:rsidRPr="005706D2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дизайн-код, утвержденный в составе правил благоустройства муниципального образования</w:t>
      </w:r>
      <w:r w:rsidRPr="005706D2">
        <w:rPr>
          <w:rFonts w:ascii="Times New Roman" w:hAnsi="Times New Roman" w:cs="Times New Roman"/>
          <w:sz w:val="28"/>
          <w:szCs w:val="28"/>
        </w:rPr>
        <w:t>;</w:t>
      </w:r>
    </w:p>
    <w:p w:rsidR="0054165F" w:rsidRDefault="005706D2" w:rsidP="005706D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сметный расчет с обоснованием стоимости затрат.</w:t>
      </w:r>
      <w:r w:rsidR="0054165F" w:rsidRPr="005706D2">
        <w:rPr>
          <w:rFonts w:ascii="Times New Roman" w:hAnsi="Times New Roman" w:cs="Times New Roman"/>
          <w:sz w:val="28"/>
          <w:szCs w:val="28"/>
        </w:rPr>
        <w:t>».</w:t>
      </w:r>
    </w:p>
    <w:p w:rsidR="00DD4AF7" w:rsidRDefault="00DD4AF7" w:rsidP="00DD4AF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AF7" w:rsidRDefault="00DD4AF7" w:rsidP="00DD4AF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Pr="00DD4AF7" w:rsidRDefault="004B10BF" w:rsidP="00DD4AF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4B10BF" w:rsidRDefault="004B10BF" w:rsidP="00DD4AF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Default="004B10BF" w:rsidP="00DD4AF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Default="004B10BF" w:rsidP="00D05A9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Default="004B10BF" w:rsidP="00D05A9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Default="004B10BF" w:rsidP="00D05A9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Default="004B10BF" w:rsidP="00D05A9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Default="004B10BF" w:rsidP="00D05A9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0BF" w:rsidRDefault="004B10BF" w:rsidP="00D05A9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B10BF" w:rsidSect="008E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C03"/>
    <w:multiLevelType w:val="multilevel"/>
    <w:tmpl w:val="7C540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7" w:hanging="14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987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35775F7"/>
    <w:multiLevelType w:val="multilevel"/>
    <w:tmpl w:val="43FA2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2">
    <w:nsid w:val="47E738EB"/>
    <w:multiLevelType w:val="multilevel"/>
    <w:tmpl w:val="B9A69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2160"/>
      </w:pPr>
      <w:rPr>
        <w:rFonts w:hint="default"/>
      </w:rPr>
    </w:lvl>
  </w:abstractNum>
  <w:abstractNum w:abstractNumId="3">
    <w:nsid w:val="5DC04765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F730A59"/>
    <w:multiLevelType w:val="hybridMultilevel"/>
    <w:tmpl w:val="623AE55A"/>
    <w:lvl w:ilvl="0" w:tplc="548878DE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6BBE262F"/>
    <w:multiLevelType w:val="hybridMultilevel"/>
    <w:tmpl w:val="EEFCC15C"/>
    <w:lvl w:ilvl="0" w:tplc="27288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64"/>
    <w:rsid w:val="00045780"/>
    <w:rsid w:val="000A7D4F"/>
    <w:rsid w:val="000C59C8"/>
    <w:rsid w:val="00110B75"/>
    <w:rsid w:val="0012357F"/>
    <w:rsid w:val="00146072"/>
    <w:rsid w:val="001A7370"/>
    <w:rsid w:val="00235FA4"/>
    <w:rsid w:val="00253CEC"/>
    <w:rsid w:val="002663F4"/>
    <w:rsid w:val="002B3EFB"/>
    <w:rsid w:val="002E4240"/>
    <w:rsid w:val="00314538"/>
    <w:rsid w:val="0033494E"/>
    <w:rsid w:val="00422739"/>
    <w:rsid w:val="00460CED"/>
    <w:rsid w:val="00470001"/>
    <w:rsid w:val="00477AB1"/>
    <w:rsid w:val="004A4CE6"/>
    <w:rsid w:val="004B10BF"/>
    <w:rsid w:val="0054165F"/>
    <w:rsid w:val="005518CC"/>
    <w:rsid w:val="00565BC7"/>
    <w:rsid w:val="005706D2"/>
    <w:rsid w:val="005904A5"/>
    <w:rsid w:val="005A335F"/>
    <w:rsid w:val="005D4CF1"/>
    <w:rsid w:val="00603346"/>
    <w:rsid w:val="00612C16"/>
    <w:rsid w:val="00690309"/>
    <w:rsid w:val="00693C03"/>
    <w:rsid w:val="006B50A3"/>
    <w:rsid w:val="00721094"/>
    <w:rsid w:val="00753329"/>
    <w:rsid w:val="007641EF"/>
    <w:rsid w:val="00787A6E"/>
    <w:rsid w:val="007B268B"/>
    <w:rsid w:val="007D5DC6"/>
    <w:rsid w:val="007E48D9"/>
    <w:rsid w:val="00822E74"/>
    <w:rsid w:val="00830C85"/>
    <w:rsid w:val="00860BF2"/>
    <w:rsid w:val="008955F3"/>
    <w:rsid w:val="008B4340"/>
    <w:rsid w:val="008B584D"/>
    <w:rsid w:val="008E1364"/>
    <w:rsid w:val="00900F2B"/>
    <w:rsid w:val="0098140A"/>
    <w:rsid w:val="009C4216"/>
    <w:rsid w:val="009D4097"/>
    <w:rsid w:val="009F3480"/>
    <w:rsid w:val="00A01B25"/>
    <w:rsid w:val="00A215C3"/>
    <w:rsid w:val="00AD0A8F"/>
    <w:rsid w:val="00AD47F5"/>
    <w:rsid w:val="00B05B16"/>
    <w:rsid w:val="00B40EEC"/>
    <w:rsid w:val="00B87EC8"/>
    <w:rsid w:val="00BB452D"/>
    <w:rsid w:val="00BD25DA"/>
    <w:rsid w:val="00BE6B81"/>
    <w:rsid w:val="00C9580A"/>
    <w:rsid w:val="00D01C14"/>
    <w:rsid w:val="00D05A94"/>
    <w:rsid w:val="00D13194"/>
    <w:rsid w:val="00DB7133"/>
    <w:rsid w:val="00DD0038"/>
    <w:rsid w:val="00DD4AF7"/>
    <w:rsid w:val="00E54C1D"/>
    <w:rsid w:val="00E92338"/>
    <w:rsid w:val="00EA1198"/>
    <w:rsid w:val="00EC3993"/>
    <w:rsid w:val="00EC73A7"/>
    <w:rsid w:val="00EC74F6"/>
    <w:rsid w:val="00F00C25"/>
    <w:rsid w:val="00F0291D"/>
    <w:rsid w:val="00F15F5F"/>
    <w:rsid w:val="00F607ED"/>
    <w:rsid w:val="00F61962"/>
    <w:rsid w:val="00F777B7"/>
    <w:rsid w:val="00F84A70"/>
    <w:rsid w:val="00F85596"/>
    <w:rsid w:val="00FA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3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1198"/>
    <w:pPr>
      <w:ind w:left="720"/>
      <w:contextualSpacing/>
    </w:pPr>
  </w:style>
  <w:style w:type="table" w:styleId="a6">
    <w:name w:val="Table Grid"/>
    <w:basedOn w:val="a1"/>
    <w:uiPriority w:val="59"/>
    <w:rsid w:val="00EC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227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273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27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27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273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3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1198"/>
    <w:pPr>
      <w:ind w:left="720"/>
      <w:contextualSpacing/>
    </w:pPr>
  </w:style>
  <w:style w:type="table" w:styleId="a6">
    <w:name w:val="Table Grid"/>
    <w:basedOn w:val="a1"/>
    <w:uiPriority w:val="59"/>
    <w:rsid w:val="00EC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227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273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27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27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273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8497-9F99-49BA-B6E4-D797EA25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Андрей Сергеевич Хачатрян</cp:lastModifiedBy>
  <cp:revision>2</cp:revision>
  <cp:lastPrinted>2025-09-17T12:30:00Z</cp:lastPrinted>
  <dcterms:created xsi:type="dcterms:W3CDTF">2025-10-07T17:55:00Z</dcterms:created>
  <dcterms:modified xsi:type="dcterms:W3CDTF">2025-10-07T17:55:00Z</dcterms:modified>
</cp:coreProperties>
</file>