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</w:t>
      </w:r>
      <w:r>
        <w:rPr>
          <w:rFonts w:ascii="Times New Roman" w:hAnsi="Times New Roman" w:cs="Times New Roman"/>
          <w:sz w:val="26"/>
          <w:szCs w:val="26"/>
        </w:rPr>
        <w:t xml:space="preserve">»____________202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№__________________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г. Санкт-Петербург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  <w:suppressLineNumbers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предоставления на </w:t>
      </w:r>
      <w:r>
        <w:rPr>
          <w:rFonts w:ascii="Times New Roman" w:hAnsi="Times New Roman" w:cs="Times New Roman"/>
          <w:b/>
          <w:sz w:val="26"/>
          <w:szCs w:val="26"/>
        </w:rPr>
        <w:t xml:space="preserve">территории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«Выдача задания на проведение работ по сохранению объекта культурного наследия регионального значения или выявленного объекта культурного наследия»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РФ от 20.07.2021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1228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6"/>
          <w:szCs w:val="26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приказываю: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реглам</w:t>
        </w:r>
        <w:r>
          <w:rPr>
            <w:rFonts w:ascii="Times New Roman" w:hAnsi="Times New Roman" w:cs="Times New Roman"/>
            <w:sz w:val="26"/>
            <w:szCs w:val="26"/>
          </w:rPr>
          <w:t xml:space="preserve">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«Выдача задания на проведение работ по сохранению объекта культурного наследия регионального значения или выявленного объекта культурного наследия»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приказу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Приказ комитета по </w:t>
      </w:r>
      <w:r>
        <w:rPr>
          <w:rFonts w:ascii="Times New Roman" w:hAnsi="Times New Roman" w:cs="Times New Roman"/>
          <w:sz w:val="26"/>
          <w:szCs w:val="26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19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.202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  № 01-03/2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171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 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«Выдача задания на проведение работ по сохранению объекта культурного наследия регионального значения или выявленного объекта культурного наследия»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заместителя председателя комитета </w:t>
      </w:r>
      <w:r>
        <w:rPr>
          <w:rFonts w:ascii="Times New Roman" w:hAnsi="Times New Roman" w:cs="Times New Roman"/>
          <w:sz w:val="26"/>
          <w:szCs w:val="26"/>
        </w:rPr>
        <w:t xml:space="preserve">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охраны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развития и сохранения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культурного наследия </w:t>
      </w:r>
      <w:r>
        <w:rPr>
          <w:rFonts w:ascii="Times New Roman" w:hAnsi="Times New Roman" w:cs="Times New Roman"/>
          <w:sz w:val="26"/>
          <w:szCs w:val="26"/>
        </w:rPr>
        <w:t xml:space="preserve">- председатель комитета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В.О. Цой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объекта культурного наследия»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собственник (физическое лицо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индивидуальный предприниматель,</w:t>
      </w:r>
      <w:r>
        <w:rPr>
          <w:rFonts w:ascii="Times New Roman" w:hAnsi="Times New Roman" w:cs="Times New Roman"/>
          <w:sz w:val="28"/>
          <w:szCs w:val="28"/>
        </w:rPr>
        <w:t xml:space="preserve"> либо юридическое лицо, являющиеся собственниками) или иной законный владелец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</w:t>
      </w:r>
      <w:r>
        <w:rPr>
          <w:rFonts w:ascii="Times New Roman" w:hAnsi="Times New Roman" w:cs="Times New Roman"/>
          <w:sz w:val="28"/>
          <w:szCs w:val="28"/>
        </w:rPr>
        <w:t xml:space="preserve">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законные представители (родители, усыновители, опекуны) несовершеннолетних в возрасте до 14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опекуны недееспособных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выдача 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адания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«МФЦ»;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технической реализации).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в Комитете.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 в Комитете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– в день поступления заявления;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явления через МФЦ в Комитет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</w:t>
      </w:r>
      <w:r>
        <w:rPr>
          <w:rFonts w:ascii="Times New Roman" w:hAnsi="Times New Roman" w:cs="Times New Roman"/>
          <w:sz w:val="28"/>
          <w:szCs w:val="28"/>
        </w:rPr>
        <w:t xml:space="preserve">та посредством ЕПГУ или ПГУ ЛО </w:t>
      </w:r>
      <w:r>
        <w:rPr>
          <w:rFonts w:ascii="Times New Roman" w:hAnsi="Times New Roman" w:cs="Times New Roman"/>
          <w:sz w:val="28"/>
          <w:szCs w:val="28"/>
        </w:rPr>
        <w:t xml:space="preserve">– в день поступления заявления на ЕПГУ или ПГУ ЛО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 в Комитет </w:t>
      </w:r>
      <w:r>
        <w:rPr>
          <w:rFonts w:ascii="Times New Roman" w:hAnsi="Times New Roman" w:cs="Times New Roman"/>
          <w:sz w:val="28"/>
          <w:szCs w:val="28"/>
        </w:rPr>
        <w:t xml:space="preserve">– в течение трех рабочих дней с момента поступления заявления.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4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5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7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ПГУ ЛО/ЕПГУ (при технической реализации);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 соответствии с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</w:r>
      <w:r>
        <w:rPr>
          <w:rFonts w:ascii="Times New Roman" w:hAnsi="Times New Roman" w:cs="Times New Roman"/>
          <w:sz w:val="28"/>
          <w:szCs w:val="28"/>
        </w:rPr>
        <w:t xml:space="preserve">или иного законного владельца объекта культурного наследия, включенного в Реестр;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2) заявление  подписано неуполномоченным лицом;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документы,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 полномочия лица, подписавшего заявление, копия документа, подтверждающего право собственности или владения.</w:t>
        <w:br/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8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или посредством Единого портала в срок, не превышающий 4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независимо от его места нахождения.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</w:t>
      </w:r>
      <w:r>
        <w:rPr>
          <w:rFonts w:ascii="Times New Roman" w:hAnsi="Times New Roman" w:cs="Times New Roman"/>
          <w:sz w:val="28"/>
          <w:szCs w:val="28"/>
        </w:rPr>
        <w:t xml:space="preserve">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объекта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культурного наследия»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3540" w:firstLine="708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3540" w:firstLine="708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3540" w:firstLine="708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4883"/>
        <w:gridCol w:w="4963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vMerge w:val="continue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выдача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адания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52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полномочия лица, подписавшего заявление </w:t>
              <w:br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pStyle w:val="9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документа, подтверждающего право собственности или владения.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952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 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ПГУ ЛО/ЕПГУ (при технической реализации);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Заявление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 оформлено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в соответствии с регламентом;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 Представленные заявителем документы не отвечают требованиям, установленным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 Некомплектн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 представленных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недостоверность указанных в них сведений;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 Отсутствие права на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ind w:firstLine="53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иного законного владельца объекта культурного наследия, включенного в Реестр;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53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заявление  подписано неуполномоченным лицом;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представлены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полномочия лица, подписавшего заявление, копия документа, подтверждающего право собственности или владения.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p>
      <w:pPr>
        <w:sectPr>
          <w:footnotePr/>
          <w:endnotePr/>
          <w:type w:val="nextPage"/>
          <w:pgSz w:w="12240" w:h="15840" w:orient="portrait"/>
          <w:pgMar w:top="709" w:right="567" w:bottom="567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jc w:val="both"/>
        <w:widowControl w:val="off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</w:r>
      <w:r>
        <w:rPr>
          <w:rFonts w:ascii="Calibri" w:hAnsi="Calibri" w:cs="Calibri"/>
          <w:sz w:val="22"/>
          <w:szCs w:val="20"/>
        </w:rPr>
      </w:r>
      <w:r>
        <w:rPr>
          <w:rFonts w:ascii="Calibri" w:hAnsi="Calibri" w:cs="Calibri"/>
          <w:sz w:val="22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СОГЛАСОВАНО: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"P281"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УТВЕРЖДАЮ: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                       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                       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(наименование организации)   </w:t>
        <w:tab/>
        <w:tab/>
        <w:tab/>
        <w:t xml:space="preserve">        (наименование органа охраны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4248" w:firstLine="708"/>
        <w:jc w:val="both"/>
        <w:spacing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объектов культурного наследия)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_________________                       _____________ 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"__" __________________ 20__ г.                              "__" __________________ 20__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М.П. &lt;2&gt;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М.П.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ЗАДАНИЕ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3"/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проведение работ по сохранению объекта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культурного наследия регионального значения (выявленного объекта культурного наследия)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 № 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  Наименование   объекта культурного наследия регионального значения (выявленного объекта культурного наследия):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 Адрес  места  нахождения  объекта культурного наследия регионального значения (выявленного объекта культурного наследия) по данным органов технической инвентаризации: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Сведения о собственнике либо ином законном владельце объекта культурного наследия регионального значения (выявленного объекта культурного наследия):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 (законный владелец):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3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"P283"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ОГРН/ОГРНИП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4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39"/>
        <w:gridCol w:w="60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"P284"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&lt;4&gt;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 Сведения  об  охранном  обязательстве  собственника или иного законного владельца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5"/>
        <w:gridCol w:w="6521"/>
      </w:tblGrid>
      <w:tr>
        <w:tblPrEx/>
        <w:trPr/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943"/>
              <w:jc w:val="both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943"/>
              <w:jc w:val="both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 охраны объектов культурного наследия, выдавший документ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  Реквизиты   документов   об  утверждении  границы  территории  объекта культурного наследия регионального значения (выявленного объекта культурного наследия):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регионального значения (выявленного объекта культурного наследия), описание предмета охраны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"P285"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&lt;5&gt;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 Реквизиты документов о согла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  Состав  и  содержание  проектной  документации  на  проведение работ по сохранению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23"/>
        <w:gridCol w:w="5383"/>
      </w:tblGrid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1. Предварительные работы: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2. Комплексные научные исследования: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Этап до начала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Этап в процессе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"P286"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&lt;6&gt;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Эскизный проект (архитектурные и конструктивные решения проекта)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Проект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4. Рабочая проектная документация: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Этап до начала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Этап в процессе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5. Отчетная документация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"P287"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&lt;7&gt;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 Порядок  и  условия  согласования  проектной документации на проведение работ по сохранению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 Требования по научному руководству, авторскому и техническому надзору: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 Дополнительные требования и условия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&lt;8&gt;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Задание подготовлено: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                 ___________                   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(Должность, наименование органа)                                  (Подпись)                            (Ф.И.О. полностью)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охраны объектов культурного наследия)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&lt;2&gt; При наличии печати.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&lt;3&gt; Для физического лица.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&lt;4&gt; Включая код населенного пункта.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&lt;6&gt; Указывается, что в случае проведения работ по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"consultantplus://offline/ref=1B647F7E713A48F6795E4B024FCE2E5F10CB143DA43CEF40D0C60D6842UEA7J"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кодекса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&lt;7&gt; Раздел заполняется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"consultantplus://offline/ref=1B647F7E713A48F6795E4B024FCE2E5F13C11D30A932EF40D0C60D6842UEA7J"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приказом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Минкультуры России от 25.06.201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"consultantplus://offline/ref=1B647F7E713A48F6795E4B024FCE2E5F10C81733AB3CEF40D0C60D6842E706964D7C53D2D1U0A1J"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пунктом 29 статьи 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 w:type="page" w:clear="all"/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43"/>
        <w:ind w:left="5670"/>
        <w:jc w:val="right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Образец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bottom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"__" ________________ 20__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Руководителю Органа охраны объектов культурного наследия,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выдаче задания на проведение работ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сохранению объекта культурного наследия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"P548"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79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"P549"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ОГРН/ОГРНИП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(место нахождения) заявителя: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 адрес заявителя: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74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740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gridSpan w:val="6"/>
            <w:tcBorders>
              <w:bottom w:val="none" w:color="000000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(индекс)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7401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33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8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"P550"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2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4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85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Сайт/Электронная почта: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  принять  решение  о  выдаче  задания  на  проведение  работ  по сохранению объектов культурного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наследия 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426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регионального значения, или  наименование  выявленного 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 (местонахождение)  объекта  культурного  наследия регионального значения,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регионального значения или выявленного объекта культурного наследия, предполагаемые к проведению: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регионального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 (иной законный владелец):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4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Сведения   о   документах-основаниях   возникновения   права  собственности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законного  владения)  на объект культурного наследия регионального значения или выявленного объекта культурного наследия: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(или условный номер)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государственной регистрации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(включая код населенного пункта)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>
          <w:trHeight w:val="17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3678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214"/>
        <w:gridCol w:w="44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рассмотрения заявления прошу: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10599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tabs>
                      <w:tab w:val="left" w:pos="9124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к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омитете по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сохранению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культур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ного наследия Ленинградской облас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ти &lt;4&gt;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МФЦ, расположенном по адресу &lt;5&gt;: Ленинградская область, ______________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по почте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83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в электронной форме в личный кабинет на ПГУ ЛО/ЕПГУ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3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54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0025" cy="266700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3502827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заявление о выдаче задания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_____ 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  _____________           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(Должность)         (Подпись)                  (Ф.И.О. полностью)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"P552"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М.П. &lt;6&gt;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&lt;1&gt; Для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&lt;2&gt; Для физического лица.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 Включая код населенного пункта.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left="-567" w:firstLine="540"/>
        <w:jc w:val="both"/>
        <w:tabs>
          <w:tab w:val="left" w:pos="142" w:leader="none"/>
          <w:tab w:val="left" w:pos="284" w:leader="none"/>
          <w:tab w:val="num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&lt;5&gt;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 МФЦ указывается при подаче документов посредством ПГУ ЛО / ЕПГУ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&lt;6&gt; При наличии печати.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 w:type="page" w:clear="all"/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43"/>
        <w:jc w:val="right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Образец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6" cy="81912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236967" name=""/>
                        <pic:cNvPicPr/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38164" cy="81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eastAsia="Times New Roman" w:cs="Times New Roman"/>
          <w:color w:val="365f91"/>
          <w14:ligatures w14:val="none"/>
        </w:rPr>
      </w:pPr>
      <w:r>
        <w:rPr>
          <w:rFonts w:ascii="Times New Roman" w:hAnsi="Times New Roman" w:eastAsia="Times New Roman" w:cs="Times New Roman"/>
          <w:color w:val="365f91"/>
          <w:sz w:val="24"/>
          <w:szCs w:val="24"/>
        </w:rPr>
      </w:r>
      <w:r>
        <w:rPr>
          <w:b/>
          <w:bCs/>
          <w:color w:val="365f91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color w:val="365f91"/>
          <w14:ligatures w14:val="none"/>
        </w:rPr>
      </w:r>
      <w:r>
        <w:rPr>
          <w:rFonts w:ascii="Times New Roman" w:hAnsi="Times New Roman" w:eastAsia="Times New Roman" w:cs="Times New Roman"/>
          <w:color w:val="365f91"/>
          <w14:ligatures w14:val="none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КОМИТЕТ ПО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СОХРАНЕНИЮ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КУЛЬТУР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НОГО НАСЛЕДИЯ</w:t>
      </w:r>
      <w:r>
        <w:rPr>
          <w:rFonts w:ascii="Times New Roman" w:hAnsi="Times New Roman" w:cs="Times New Roman"/>
          <w:b/>
          <w:bCs/>
          <w:color w:val="365f91"/>
        </w:rPr>
      </w:r>
      <w:r>
        <w:rPr>
          <w:rFonts w:ascii="Times New Roman" w:hAnsi="Times New Roman" w:cs="Times New Roman"/>
          <w:b/>
          <w:bCs/>
          <w:color w:val="365f91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ЛЕНИНГРАДСКОЙ ОБЛАСТИ </w:t>
      </w:r>
      <w:r>
        <w:rPr>
          <w:rFonts w:ascii="Times New Roman" w:hAnsi="Times New Roman" w:cs="Times New Roman"/>
          <w:b/>
          <w:bCs/>
          <w:color w:val="365f91"/>
        </w:rPr>
      </w:r>
      <w:r>
        <w:rPr>
          <w:rFonts w:ascii="Times New Roman" w:hAnsi="Times New Roman" w:cs="Times New Roman"/>
          <w:b/>
          <w:bCs/>
          <w:color w:val="365f91"/>
        </w:rPr>
      </w:r>
    </w:p>
    <w:p>
      <w:pPr>
        <w:pStyle w:val="96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№____________________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Ленинг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радской области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расположенного(ых) по адресу_____________________________________,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об отказе в выдаче вышеуказанного задания в связи: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иного законного владельца объекта культурного наследия, включенного в Реестр;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2) заявление  подписано неуполномоченным лицом;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представлены документы,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подтверждающие полномочия лица, подписавшего заявление, копия документа, подтверждающего право собственности или владения.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5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954"/>
        <w:ind w:left="4248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(нужное выделить)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br w:type="page" w:clear="all"/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943"/>
        <w:jc w:val="right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Образец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6" cy="819125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971746" name=""/>
                        <pic:cNvPicPr/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38164" cy="81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365f91"/>
          <w:sz w:val="24"/>
          <w:szCs w:val="24"/>
        </w:rPr>
      </w:r>
      <w:r>
        <w:rPr>
          <w:b/>
          <w:bCs/>
          <w:color w:val="365f91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14:ligatures w14:val="none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КОМИТЕТ ПО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СОХРАНЕНИЮ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КУЛЬТУР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НОГО НАСЛЕДИЯ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ЛЕНИНГРАДСКОЙ ОБЛАСТИ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6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96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№____________________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сохранению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Ленинг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радской области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расположенного(ых) по адресу_____________________________________,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направляет Вам задание № 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___ л.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9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46</w:t>
        </w:r>
        <w:r>
          <w:fldChar w:fldCharType="end"/>
        </w:r>
        <w:r/>
      </w:p>
    </w:sdtContent>
  </w:sdt>
  <w:p>
    <w:pPr>
      <w:pStyle w:val="95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6"/>
    <w:link w:val="944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46"/>
    <w:link w:val="945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43"/>
    <w:next w:val="943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basedOn w:val="946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43"/>
    <w:next w:val="943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4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43"/>
    <w:next w:val="943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basedOn w:val="946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43"/>
    <w:next w:val="943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basedOn w:val="946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43"/>
    <w:next w:val="943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46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43"/>
    <w:next w:val="943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46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43"/>
    <w:next w:val="943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46"/>
    <w:link w:val="790"/>
    <w:uiPriority w:val="9"/>
    <w:rPr>
      <w:rFonts w:ascii="Arial" w:hAnsi="Arial" w:eastAsia="Arial" w:cs="Arial"/>
      <w:i/>
      <w:iCs/>
      <w:sz w:val="21"/>
      <w:szCs w:val="21"/>
    </w:rPr>
  </w:style>
  <w:style w:type="character" w:styleId="792">
    <w:name w:val="Title Char"/>
    <w:basedOn w:val="946"/>
    <w:link w:val="976"/>
    <w:uiPriority w:val="10"/>
    <w:rPr>
      <w:sz w:val="48"/>
      <w:szCs w:val="48"/>
    </w:rPr>
  </w:style>
  <w:style w:type="paragraph" w:styleId="793">
    <w:name w:val="Subtitle"/>
    <w:basedOn w:val="943"/>
    <w:next w:val="943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basedOn w:val="946"/>
    <w:link w:val="793"/>
    <w:uiPriority w:val="11"/>
    <w:rPr>
      <w:sz w:val="24"/>
      <w:szCs w:val="24"/>
    </w:rPr>
  </w:style>
  <w:style w:type="paragraph" w:styleId="795">
    <w:name w:val="Quote"/>
    <w:basedOn w:val="943"/>
    <w:next w:val="943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3"/>
    <w:next w:val="943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character" w:styleId="799">
    <w:name w:val="Header Char"/>
    <w:basedOn w:val="946"/>
    <w:link w:val="957"/>
    <w:uiPriority w:val="99"/>
  </w:style>
  <w:style w:type="character" w:styleId="800">
    <w:name w:val="Footer Char"/>
    <w:basedOn w:val="946"/>
    <w:link w:val="959"/>
    <w:uiPriority w:val="99"/>
  </w:style>
  <w:style w:type="paragraph" w:styleId="801">
    <w:name w:val="Caption"/>
    <w:basedOn w:val="943"/>
    <w:next w:val="943"/>
    <w:link w:val="8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959"/>
    <w:uiPriority w:val="99"/>
  </w:style>
  <w:style w:type="table" w:styleId="803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2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3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4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5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6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7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Footnote Text Char"/>
    <w:link w:val="985"/>
    <w:uiPriority w:val="99"/>
    <w:rPr>
      <w:sz w:val="18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basedOn w:val="946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qFormat/>
  </w:style>
  <w:style w:type="paragraph" w:styleId="944">
    <w:name w:val="Heading 1"/>
    <w:basedOn w:val="943"/>
    <w:next w:val="943"/>
    <w:link w:val="968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45">
    <w:name w:val="Heading 2"/>
    <w:basedOn w:val="943"/>
    <w:next w:val="943"/>
    <w:link w:val="969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List Paragraph"/>
    <w:basedOn w:val="943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50">
    <w:name w:val="Balloon Text"/>
    <w:basedOn w:val="943"/>
    <w:link w:val="951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946"/>
    <w:link w:val="950"/>
    <w:uiPriority w:val="99"/>
    <w:semiHidden/>
    <w:rPr>
      <w:rFonts w:ascii="Tahoma" w:hAnsi="Tahoma" w:cs="Tahoma"/>
      <w:sz w:val="16"/>
      <w:szCs w:val="16"/>
    </w:rPr>
  </w:style>
  <w:style w:type="table" w:styleId="952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53">
    <w:name w:val="Hyperlink"/>
    <w:basedOn w:val="946"/>
    <w:unhideWhenUsed/>
    <w:rPr>
      <w:color w:val="0000ff" w:themeColor="hyperlink"/>
      <w:u w:val="single"/>
    </w:rPr>
  </w:style>
  <w:style w:type="paragraph" w:styleId="95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5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6">
    <w:name w:val="No Spacing"/>
    <w:uiPriority w:val="1"/>
    <w:qFormat/>
    <w:pPr>
      <w:spacing w:after="0" w:line="240" w:lineRule="auto"/>
    </w:pPr>
  </w:style>
  <w:style w:type="paragraph" w:styleId="957">
    <w:name w:val="Header"/>
    <w:basedOn w:val="943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946"/>
    <w:link w:val="957"/>
    <w:uiPriority w:val="99"/>
  </w:style>
  <w:style w:type="paragraph" w:styleId="959">
    <w:name w:val="Footer"/>
    <w:basedOn w:val="943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946"/>
    <w:link w:val="959"/>
    <w:uiPriority w:val="99"/>
  </w:style>
  <w:style w:type="character" w:styleId="961">
    <w:name w:val="annotation reference"/>
    <w:basedOn w:val="946"/>
    <w:unhideWhenUsed/>
    <w:rPr>
      <w:sz w:val="16"/>
      <w:szCs w:val="16"/>
    </w:rPr>
  </w:style>
  <w:style w:type="paragraph" w:styleId="962">
    <w:name w:val="annotation text"/>
    <w:basedOn w:val="943"/>
    <w:link w:val="963"/>
    <w:unhideWhenUsed/>
    <w:pPr>
      <w:spacing w:line="240" w:lineRule="auto"/>
    </w:pPr>
    <w:rPr>
      <w:sz w:val="20"/>
      <w:szCs w:val="20"/>
    </w:rPr>
  </w:style>
  <w:style w:type="character" w:styleId="963" w:customStyle="1">
    <w:name w:val="Текст примечания Знак"/>
    <w:basedOn w:val="946"/>
    <w:link w:val="962"/>
    <w:rPr>
      <w:sz w:val="20"/>
      <w:szCs w:val="20"/>
    </w:rPr>
  </w:style>
  <w:style w:type="paragraph" w:styleId="964">
    <w:name w:val="annotation subject"/>
    <w:basedOn w:val="962"/>
    <w:next w:val="962"/>
    <w:link w:val="965"/>
    <w:unhideWhenUsed/>
    <w:rPr>
      <w:b/>
      <w:bCs/>
    </w:rPr>
  </w:style>
  <w:style w:type="character" w:styleId="965" w:customStyle="1">
    <w:name w:val="Тема примечания Знак"/>
    <w:basedOn w:val="963"/>
    <w:link w:val="964"/>
    <w:rPr>
      <w:b/>
      <w:bCs/>
      <w:sz w:val="20"/>
      <w:szCs w:val="20"/>
    </w:rPr>
  </w:style>
  <w:style w:type="paragraph" w:styleId="966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68" w:customStyle="1">
    <w:name w:val="Заголовок 1 Знак"/>
    <w:basedOn w:val="946"/>
    <w:link w:val="944"/>
    <w:rPr>
      <w:rFonts w:ascii="Tahoma" w:hAnsi="Tahoma" w:eastAsia="Times New Roman" w:cs="Times New Roman"/>
      <w:b/>
      <w:sz w:val="28"/>
      <w:szCs w:val="20"/>
    </w:rPr>
  </w:style>
  <w:style w:type="character" w:styleId="969" w:customStyle="1">
    <w:name w:val="Заголовок 2 Знак"/>
    <w:basedOn w:val="946"/>
    <w:link w:val="945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70" w:customStyle="1">
    <w:name w:val="Основной текст_"/>
    <w:link w:val="972"/>
    <w:rPr>
      <w:spacing w:val="1"/>
      <w:sz w:val="27"/>
      <w:szCs w:val="27"/>
      <w:shd w:val="clear" w:color="auto" w:fill="ffffff"/>
    </w:rPr>
  </w:style>
  <w:style w:type="character" w:styleId="971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72" w:customStyle="1">
    <w:name w:val="Основной текст1"/>
    <w:basedOn w:val="943"/>
    <w:link w:val="970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73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74">
    <w:name w:val="Body Text Indent"/>
    <w:basedOn w:val="943"/>
    <w:link w:val="975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75" w:customStyle="1">
    <w:name w:val="Основной текст с отступом Знак"/>
    <w:basedOn w:val="946"/>
    <w:link w:val="974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76">
    <w:name w:val="Title"/>
    <w:basedOn w:val="943"/>
    <w:link w:val="97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7" w:customStyle="1">
    <w:name w:val="Название Знак"/>
    <w:basedOn w:val="946"/>
    <w:link w:val="976"/>
    <w:rPr>
      <w:rFonts w:ascii="Times New Roman" w:hAnsi="Times New Roman" w:eastAsia="Times New Roman" w:cs="Times New Roman"/>
      <w:sz w:val="28"/>
      <w:szCs w:val="24"/>
    </w:rPr>
  </w:style>
  <w:style w:type="paragraph" w:styleId="978">
    <w:name w:val="Body Text"/>
    <w:basedOn w:val="943"/>
    <w:link w:val="97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9" w:customStyle="1">
    <w:name w:val="Основной текст Знак"/>
    <w:basedOn w:val="946"/>
    <w:link w:val="978"/>
    <w:rPr>
      <w:rFonts w:ascii="Times New Roman" w:hAnsi="Times New Roman" w:eastAsia="Times New Roman" w:cs="Times New Roman"/>
      <w:sz w:val="28"/>
      <w:szCs w:val="24"/>
    </w:rPr>
  </w:style>
  <w:style w:type="paragraph" w:styleId="98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1">
    <w:name w:val="page number"/>
  </w:style>
  <w:style w:type="paragraph" w:styleId="982">
    <w:name w:val="Normal (Web)"/>
    <w:basedOn w:val="943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83">
    <w:name w:val="Strong"/>
    <w:uiPriority w:val="22"/>
    <w:qFormat/>
    <w:rPr>
      <w:b/>
      <w:bCs/>
    </w:rPr>
  </w:style>
  <w:style w:type="paragraph" w:styleId="984" w:customStyle="1">
    <w:name w:val="consplusnormal0"/>
    <w:basedOn w:val="943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85">
    <w:name w:val="footnote text"/>
    <w:basedOn w:val="943"/>
    <w:link w:val="986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986" w:customStyle="1">
    <w:name w:val="Текст сноски Знак"/>
    <w:basedOn w:val="946"/>
    <w:link w:val="985"/>
    <w:uiPriority w:val="99"/>
    <w:rPr>
      <w:rFonts w:ascii="Arial" w:hAnsi="Arial" w:eastAsia="Times New Roman" w:cs="Times New Roman"/>
      <w:sz w:val="20"/>
      <w:szCs w:val="20"/>
    </w:rPr>
  </w:style>
  <w:style w:type="character" w:styleId="987">
    <w:name w:val="footnote reference"/>
    <w:uiPriority w:val="99"/>
    <w:unhideWhenUsed/>
    <w:rPr>
      <w:rFonts w:cs="Times New Roman"/>
      <w:vertAlign w:val="superscript"/>
    </w:rPr>
  </w:style>
  <w:style w:type="paragraph" w:styleId="988" w:customStyle="1">
    <w:name w:val="Знак Знак Знак Знак Знак Знак Знак"/>
    <w:basedOn w:val="943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989" w:customStyle="1">
    <w:name w:val="blk"/>
  </w:style>
  <w:style w:type="numbering" w:styleId="990" w:customStyle="1">
    <w:name w:val="Нет списка1"/>
    <w:next w:val="948"/>
    <w:uiPriority w:val="99"/>
    <w:semiHidden/>
    <w:unhideWhenUsed/>
  </w:style>
  <w:style w:type="paragraph" w:styleId="991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2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3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994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99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SPB&amp;n=311791&amp;dst=100657" TargetMode="External"/><Relationship Id="rId15" Type="http://schemas.openxmlformats.org/officeDocument/2006/relationships/hyperlink" Target="https://login.consultant.ru/link/?req=doc&amp;base=LAW&amp;n=494996&amp;dst=427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6" Type="http://schemas.openxmlformats.org/officeDocument/2006/relationships/image" Target="media/image2.png"/><Relationship Id="rId27" Type="http://schemas.openxmlformats.org/officeDocument/2006/relationships/image" Target="media/media1.svg"/><Relationship Id="rId28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73</cp:revision>
  <dcterms:created xsi:type="dcterms:W3CDTF">2025-09-23T13:24:00Z</dcterms:created>
  <dcterms:modified xsi:type="dcterms:W3CDTF">2025-11-13T09:10:11Z</dcterms:modified>
</cp:coreProperties>
</file>