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0B3BAA">
        <w:rPr>
          <w:rFonts w:ascii="Times New Roman" w:hAnsi="Times New Roman" w:cs="Times New Roman"/>
          <w:sz w:val="24"/>
          <w:szCs w:val="24"/>
        </w:rPr>
        <w:t>30 октя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0B3BAA">
        <w:rPr>
          <w:rFonts w:ascii="Times New Roman" w:hAnsi="Times New Roman" w:cs="Times New Roman"/>
          <w:sz w:val="24"/>
          <w:szCs w:val="24"/>
        </w:rPr>
        <w:t>года № 111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B3BA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поставляемые акционерным обществом «Северное» потребителям (кроме населен</w:t>
      </w:r>
      <w:r w:rsidR="00215623">
        <w:rPr>
          <w:rFonts w:ascii="Times New Roman" w:hAnsi="Times New Roman" w:cs="Times New Roman"/>
          <w:sz w:val="24"/>
          <w:szCs w:val="24"/>
        </w:rPr>
        <w:t>ия) муниципального образования Сосновское сельское поселение</w:t>
      </w:r>
      <w:r w:rsidR="000B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BA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0B3BA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0B3BA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D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BA2D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="00B25496">
        <w:rPr>
          <w:rFonts w:ascii="Times New Roman" w:hAnsi="Times New Roman" w:cs="Times New Roman"/>
          <w:sz w:val="24"/>
          <w:szCs w:val="24"/>
        </w:rPr>
        <w:t>О теплоснабжении»</w:t>
      </w:r>
      <w:r w:rsidRPr="00BA2DF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BA2D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25496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BA2DF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BA2DF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A2D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</w:t>
      </w:r>
      <w:r w:rsidR="00B25496">
        <w:rPr>
          <w:rFonts w:ascii="Times New Roman" w:hAnsi="Times New Roman" w:cs="Times New Roman"/>
          <w:sz w:val="24"/>
          <w:szCs w:val="24"/>
        </w:rPr>
        <w:t>12 года № 1075 «</w:t>
      </w:r>
      <w:r w:rsidRPr="00BA2DF7">
        <w:rPr>
          <w:rFonts w:ascii="Times New Roman" w:hAnsi="Times New Roman" w:cs="Times New Roman"/>
          <w:sz w:val="24"/>
          <w:szCs w:val="24"/>
        </w:rPr>
        <w:t>О ценообр</w:t>
      </w:r>
      <w:r w:rsidR="00B25496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BA2DF7">
        <w:rPr>
          <w:rFonts w:ascii="Times New Roman" w:hAnsi="Times New Roman" w:cs="Times New Roman"/>
          <w:sz w:val="24"/>
          <w:szCs w:val="24"/>
        </w:rPr>
        <w:t xml:space="preserve">, </w:t>
      </w:r>
      <w:r w:rsidR="00977676" w:rsidRPr="0097767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9776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A2D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A2DF7">
        <w:rPr>
          <w:rFonts w:ascii="Times New Roman" w:hAnsi="Times New Roman" w:cs="Times New Roman"/>
          <w:sz w:val="24"/>
          <w:szCs w:val="24"/>
        </w:rPr>
        <w:t xml:space="preserve"> Ф</w:t>
      </w:r>
      <w:r w:rsidR="00B2549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B25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496"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BA2DF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</w:t>
      </w:r>
      <w:r w:rsidR="00B25496">
        <w:rPr>
          <w:rFonts w:ascii="Times New Roman" w:hAnsi="Times New Roman" w:cs="Times New Roman"/>
          <w:sz w:val="24"/>
          <w:szCs w:val="24"/>
        </w:rPr>
        <w:t>рифов) в сфере теплоснабжения»</w:t>
      </w:r>
      <w:r w:rsidRPr="00BA2D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BA2D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A2DF7">
        <w:rPr>
          <w:rFonts w:ascii="Times New Roman" w:hAnsi="Times New Roman" w:cs="Times New Roman"/>
          <w:sz w:val="24"/>
          <w:szCs w:val="24"/>
        </w:rPr>
        <w:t xml:space="preserve"> </w:t>
      </w:r>
      <w:r w:rsidR="00B25496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BA2DF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B25496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BA2D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BA2D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A2DF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B25496">
        <w:rPr>
          <w:rFonts w:ascii="Times New Roman" w:hAnsi="Times New Roman" w:cs="Times New Roman"/>
          <w:sz w:val="24"/>
          <w:szCs w:val="24"/>
        </w:rPr>
        <w:t>бласти</w:t>
      </w:r>
      <w:proofErr w:type="gramEnd"/>
      <w:r w:rsidR="00B25496">
        <w:rPr>
          <w:rFonts w:ascii="Times New Roman" w:hAnsi="Times New Roman" w:cs="Times New Roman"/>
          <w:sz w:val="24"/>
          <w:szCs w:val="24"/>
        </w:rPr>
        <w:t xml:space="preserve"> от 28 августа 2013 года №</w:t>
      </w:r>
      <w:r w:rsidRPr="00BA2DF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0B3BAA">
        <w:rPr>
          <w:rFonts w:ascii="Times New Roman" w:hAnsi="Times New Roman" w:cs="Times New Roman"/>
          <w:sz w:val="24"/>
          <w:szCs w:val="24"/>
        </w:rPr>
        <w:t>от 30 октября 2023 года № 111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B3BA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поставляемые акционерным обществом «Северное» потребителям (кроме населен</w:t>
      </w:r>
      <w:r w:rsidR="00215623">
        <w:rPr>
          <w:rFonts w:ascii="Times New Roman" w:hAnsi="Times New Roman" w:cs="Times New Roman"/>
          <w:sz w:val="24"/>
          <w:szCs w:val="24"/>
        </w:rPr>
        <w:t>ия) муниципального образования Сосновское сельское поселение</w:t>
      </w:r>
      <w:r w:rsidR="000B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BA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0B3BA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97767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E143D" w:rsidRDefault="004E143D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7491B" w:rsidRDefault="00F7491B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7491B" w:rsidRDefault="00F7491B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60FAA" w:rsidRDefault="00F60FAA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25496" w:rsidRPr="00D73220" w:rsidRDefault="00B2549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496" w:rsidRPr="00B25496" w:rsidRDefault="00567C3F" w:rsidP="00B254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25496" w:rsidRPr="00B25496" w:rsidRDefault="00567C3F" w:rsidP="00567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«Северное»</w:t>
      </w: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Сосновское сельское поселение</w:t>
      </w:r>
    </w:p>
    <w:p w:rsidR="00B25496" w:rsidRPr="00B25496" w:rsidRDefault="00567C3F" w:rsidP="00B254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B25496" w:rsidRPr="00B25496" w:rsidRDefault="00567C3F" w:rsidP="00B254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B25496" w:rsidRPr="00B25496" w:rsidRDefault="00B25496" w:rsidP="00B254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B25496" w:rsidRPr="00977676" w:rsidTr="008243E0">
        <w:tc>
          <w:tcPr>
            <w:tcW w:w="510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496" w:rsidRPr="00977676" w:rsidTr="008243E0">
        <w:tc>
          <w:tcPr>
            <w:tcW w:w="510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r w:rsidR="00215623"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Сосновское сельское поселение</w:t>
            </w: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Приозерского</w:t>
            </w:r>
            <w:proofErr w:type="spellEnd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3676,89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3942,07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3806,37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3806,37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DD2860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B25496"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DD2860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B25496"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3598,99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3624,06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3624,06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496" w:rsidRPr="00977676" w:rsidTr="008243E0">
        <w:tc>
          <w:tcPr>
            <w:tcW w:w="510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3877,67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25496" w:rsidRPr="00977676" w:rsidRDefault="00B25496" w:rsidP="00B25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D212D"/>
    <w:rsid w:val="00215623"/>
    <w:rsid w:val="00292244"/>
    <w:rsid w:val="002B5F36"/>
    <w:rsid w:val="002B6735"/>
    <w:rsid w:val="003478BC"/>
    <w:rsid w:val="003A6DD4"/>
    <w:rsid w:val="003D7838"/>
    <w:rsid w:val="003E0C3F"/>
    <w:rsid w:val="004E143D"/>
    <w:rsid w:val="00567C3F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77676"/>
    <w:rsid w:val="00985963"/>
    <w:rsid w:val="00A34FCC"/>
    <w:rsid w:val="00AC1F1D"/>
    <w:rsid w:val="00AE32A2"/>
    <w:rsid w:val="00B25496"/>
    <w:rsid w:val="00B31184"/>
    <w:rsid w:val="00B55CE1"/>
    <w:rsid w:val="00B87220"/>
    <w:rsid w:val="00BF7D31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DD2860"/>
    <w:rsid w:val="00E94E3C"/>
    <w:rsid w:val="00EB0348"/>
    <w:rsid w:val="00EC2377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24BB-A5AF-4652-9E78-082A23CA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2025-09-19T07:36:00Z</dcterms:created>
  <dcterms:modified xsi:type="dcterms:W3CDTF">2025-11-27T09:42:00Z</dcterms:modified>
</cp:coreProperties>
</file>