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492B08">
        <w:rPr>
          <w:rFonts w:ascii="Times New Roman" w:hAnsi="Times New Roman" w:cs="Times New Roman"/>
          <w:sz w:val="24"/>
          <w:szCs w:val="24"/>
        </w:rPr>
        <w:t>18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492B08">
        <w:rPr>
          <w:rFonts w:ascii="Times New Roman" w:hAnsi="Times New Roman" w:cs="Times New Roman"/>
          <w:sz w:val="24"/>
          <w:szCs w:val="24"/>
        </w:rPr>
        <w:t>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605471">
        <w:rPr>
          <w:rFonts w:ascii="Times New Roman" w:hAnsi="Times New Roman" w:cs="Times New Roman"/>
          <w:sz w:val="24"/>
          <w:szCs w:val="24"/>
        </w:rPr>
        <w:t>23</w:t>
      </w:r>
      <w:r w:rsidR="00073BBB">
        <w:rPr>
          <w:rFonts w:ascii="Times New Roman" w:hAnsi="Times New Roman" w:cs="Times New Roman"/>
          <w:sz w:val="24"/>
          <w:szCs w:val="24"/>
        </w:rPr>
        <w:t xml:space="preserve"> года № 381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073BBB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ООО «ТК Северная» потребителям на территории муниципального образования «</w:t>
      </w:r>
      <w:proofErr w:type="spellStart"/>
      <w:r w:rsidR="00073BBB">
        <w:rPr>
          <w:rFonts w:ascii="Times New Roman" w:hAnsi="Times New Roman" w:cs="Times New Roman"/>
          <w:sz w:val="24"/>
          <w:szCs w:val="24"/>
        </w:rPr>
        <w:t>Бугровское</w:t>
      </w:r>
      <w:proofErr w:type="spellEnd"/>
      <w:r w:rsidR="00073BBB">
        <w:rPr>
          <w:rFonts w:ascii="Times New Roman" w:hAnsi="Times New Roman" w:cs="Times New Roman"/>
          <w:sz w:val="24"/>
          <w:szCs w:val="24"/>
        </w:rPr>
        <w:t xml:space="preserve"> сельское поселение» Всеволожского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073BBB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143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3A143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3A143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3A143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3A143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3A1439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3A1439">
        <w:rPr>
          <w:rFonts w:ascii="Times New Roman" w:hAnsi="Times New Roman" w:cs="Times New Roman"/>
          <w:sz w:val="24"/>
          <w:szCs w:val="24"/>
        </w:rPr>
        <w:t xml:space="preserve">, </w:t>
      </w:r>
      <w:r w:rsidR="000D522D" w:rsidRPr="000D522D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 </w:t>
      </w:r>
      <w:hyperlink r:id="rId9">
        <w:r w:rsidRPr="003A143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A1439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</w:t>
      </w:r>
      <w:r w:rsidRPr="003A1439">
        <w:rPr>
          <w:rFonts w:ascii="Times New Roman" w:hAnsi="Times New Roman" w:cs="Times New Roman"/>
          <w:sz w:val="24"/>
          <w:szCs w:val="24"/>
        </w:rPr>
        <w:t xml:space="preserve"> 760</w:t>
      </w:r>
      <w:r>
        <w:rPr>
          <w:rFonts w:ascii="Times New Roman" w:hAnsi="Times New Roman" w:cs="Times New Roman"/>
          <w:sz w:val="24"/>
          <w:szCs w:val="24"/>
        </w:rPr>
        <w:t>-э «</w:t>
      </w:r>
      <w:r w:rsidRPr="003A1439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3A14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1439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3A143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3A143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A14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3A1439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3A143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3A143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3A1439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3A1439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3A1439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492B08">
        <w:rPr>
          <w:rFonts w:ascii="Times New Roman" w:hAnsi="Times New Roman" w:cs="Times New Roman"/>
          <w:sz w:val="24"/>
          <w:szCs w:val="24"/>
        </w:rPr>
        <w:t>кой области                от 18 дека</w:t>
      </w:r>
      <w:r w:rsidR="00073BBB">
        <w:rPr>
          <w:rFonts w:ascii="Times New Roman" w:hAnsi="Times New Roman" w:cs="Times New Roman"/>
          <w:sz w:val="24"/>
          <w:szCs w:val="24"/>
        </w:rPr>
        <w:t>бря 2023 года № 381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073BBB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ООО «ТК Северная» потребителям на территории муниципального образования «</w:t>
      </w:r>
      <w:proofErr w:type="spellStart"/>
      <w:r w:rsidR="00073BBB">
        <w:rPr>
          <w:rFonts w:ascii="Times New Roman" w:hAnsi="Times New Roman" w:cs="Times New Roman"/>
          <w:sz w:val="24"/>
          <w:szCs w:val="24"/>
        </w:rPr>
        <w:t>Бугровское</w:t>
      </w:r>
      <w:proofErr w:type="spellEnd"/>
      <w:r w:rsidR="00073BBB">
        <w:rPr>
          <w:rFonts w:ascii="Times New Roman" w:hAnsi="Times New Roman" w:cs="Times New Roman"/>
          <w:sz w:val="24"/>
          <w:szCs w:val="24"/>
        </w:rPr>
        <w:t xml:space="preserve"> сельское поселение» Всеволожского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bookmarkStart w:id="2" w:name="_GoBack"/>
      <w:bookmarkEnd w:id="2"/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522D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2B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05471" w:rsidRDefault="0060547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05471" w:rsidRDefault="0060547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492B08" w:rsidRDefault="00492B08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492B08" w:rsidRPr="00D73220" w:rsidRDefault="00492B08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3FD" w:rsidRPr="005313FD" w:rsidRDefault="00116931" w:rsidP="005313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531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5313FD" w:rsidRPr="005313FD" w:rsidRDefault="00116931" w:rsidP="001169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овую энергию, поставляемую ООО «ТК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Северная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531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Pr="00531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 в 2024-2028 годах</w:t>
      </w:r>
    </w:p>
    <w:p w:rsidR="005313FD" w:rsidRPr="005313FD" w:rsidRDefault="005313FD" w:rsidP="005313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551"/>
        <w:gridCol w:w="3402"/>
        <w:gridCol w:w="2551"/>
      </w:tblGrid>
      <w:tr w:rsidR="005313FD" w:rsidRPr="005313FD" w:rsidTr="009A29FD">
        <w:tc>
          <w:tcPr>
            <w:tcW w:w="566" w:type="dxa"/>
            <w:vMerge w:val="restart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vMerge w:val="restart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402" w:type="dxa"/>
            <w:vMerge w:val="restart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2551" w:type="dxa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5313FD" w:rsidRPr="005313FD" w:rsidTr="009A29FD">
        <w:tc>
          <w:tcPr>
            <w:tcW w:w="566" w:type="dxa"/>
            <w:vMerge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313FD" w:rsidRPr="005313FD" w:rsidTr="009A29FD">
        <w:tc>
          <w:tcPr>
            <w:tcW w:w="9070" w:type="dxa"/>
            <w:gridSpan w:val="4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DC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="00DC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Бугровское</w:t>
            </w:r>
            <w:proofErr w:type="spellEnd"/>
            <w:r w:rsidR="00DC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 (котельная </w:t>
            </w:r>
            <w:proofErr w:type="spellStart"/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Мистолово</w:t>
            </w:r>
            <w:proofErr w:type="spellEnd"/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случае отсутствия дифференциации тарифов по схеме подключения</w:t>
            </w:r>
          </w:p>
        </w:tc>
      </w:tr>
      <w:tr w:rsidR="005313FD" w:rsidRPr="005313FD" w:rsidTr="009A29FD">
        <w:tc>
          <w:tcPr>
            <w:tcW w:w="566" w:type="dxa"/>
            <w:vMerge w:val="restart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vMerge w:val="restart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402" w:type="dxa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2551" w:type="dxa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2416,79</w:t>
            </w:r>
          </w:p>
        </w:tc>
      </w:tr>
      <w:tr w:rsidR="005313FD" w:rsidRPr="005313FD" w:rsidTr="009A29FD">
        <w:tc>
          <w:tcPr>
            <w:tcW w:w="566" w:type="dxa"/>
            <w:vMerge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2551" w:type="dxa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2609,27</w:t>
            </w:r>
          </w:p>
        </w:tc>
      </w:tr>
      <w:tr w:rsidR="005313FD" w:rsidRPr="005313FD" w:rsidTr="009A29FD">
        <w:tc>
          <w:tcPr>
            <w:tcW w:w="566" w:type="dxa"/>
            <w:vMerge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2551" w:type="dxa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2609,27</w:t>
            </w:r>
          </w:p>
        </w:tc>
      </w:tr>
      <w:tr w:rsidR="005313FD" w:rsidRPr="005313FD" w:rsidTr="009A29FD">
        <w:tc>
          <w:tcPr>
            <w:tcW w:w="566" w:type="dxa"/>
            <w:vMerge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2551" w:type="dxa"/>
          </w:tcPr>
          <w:p w:rsidR="005313FD" w:rsidRPr="005313FD" w:rsidRDefault="007237CB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3338,45</w:t>
            </w:r>
          </w:p>
        </w:tc>
      </w:tr>
      <w:tr w:rsidR="005313FD" w:rsidRPr="005313FD" w:rsidTr="009A29FD">
        <w:tc>
          <w:tcPr>
            <w:tcW w:w="566" w:type="dxa"/>
            <w:vMerge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313FD" w:rsidRPr="005313FD" w:rsidRDefault="00655D2A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5313FD"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2551" w:type="dxa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5313FD" w:rsidRPr="005313FD" w:rsidTr="009A29FD">
        <w:tc>
          <w:tcPr>
            <w:tcW w:w="566" w:type="dxa"/>
            <w:vMerge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313FD" w:rsidRPr="005313FD" w:rsidRDefault="00655D2A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5313FD"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2551" w:type="dxa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5313FD" w:rsidRPr="005313FD" w:rsidTr="009A29FD">
        <w:tc>
          <w:tcPr>
            <w:tcW w:w="566" w:type="dxa"/>
            <w:vMerge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2551" w:type="dxa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2735,32</w:t>
            </w:r>
          </w:p>
        </w:tc>
      </w:tr>
      <w:tr w:rsidR="005313FD" w:rsidRPr="005313FD" w:rsidTr="009A29FD">
        <w:tc>
          <w:tcPr>
            <w:tcW w:w="566" w:type="dxa"/>
            <w:vMerge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2551" w:type="dxa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2919,40</w:t>
            </w:r>
          </w:p>
        </w:tc>
      </w:tr>
      <w:tr w:rsidR="005313FD" w:rsidRPr="005313FD" w:rsidTr="009A29FD">
        <w:tc>
          <w:tcPr>
            <w:tcW w:w="566" w:type="dxa"/>
            <w:vMerge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2551" w:type="dxa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2919,40</w:t>
            </w:r>
          </w:p>
        </w:tc>
      </w:tr>
      <w:tr w:rsidR="005313FD" w:rsidRPr="005313FD" w:rsidTr="009A29FD">
        <w:tc>
          <w:tcPr>
            <w:tcW w:w="566" w:type="dxa"/>
            <w:vMerge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2551" w:type="dxa"/>
          </w:tcPr>
          <w:p w:rsidR="005313FD" w:rsidRPr="005313FD" w:rsidRDefault="005313FD" w:rsidP="00531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2851,46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73BBB"/>
    <w:rsid w:val="0009274E"/>
    <w:rsid w:val="000D522D"/>
    <w:rsid w:val="00116931"/>
    <w:rsid w:val="00146DBF"/>
    <w:rsid w:val="001D212D"/>
    <w:rsid w:val="00292244"/>
    <w:rsid w:val="002B5F36"/>
    <w:rsid w:val="003A6DD4"/>
    <w:rsid w:val="003D7838"/>
    <w:rsid w:val="003E0C3F"/>
    <w:rsid w:val="00492B08"/>
    <w:rsid w:val="005313FD"/>
    <w:rsid w:val="00605471"/>
    <w:rsid w:val="006356D3"/>
    <w:rsid w:val="0064738F"/>
    <w:rsid w:val="00655D2A"/>
    <w:rsid w:val="006823E8"/>
    <w:rsid w:val="006F3A62"/>
    <w:rsid w:val="007237CB"/>
    <w:rsid w:val="00732A6D"/>
    <w:rsid w:val="007655C6"/>
    <w:rsid w:val="007E7CC1"/>
    <w:rsid w:val="007F08B6"/>
    <w:rsid w:val="00835AAB"/>
    <w:rsid w:val="008A6D4A"/>
    <w:rsid w:val="00920DA4"/>
    <w:rsid w:val="00985963"/>
    <w:rsid w:val="00AC1F1D"/>
    <w:rsid w:val="00AE32A2"/>
    <w:rsid w:val="00B55CE1"/>
    <w:rsid w:val="00C03DB3"/>
    <w:rsid w:val="00C42795"/>
    <w:rsid w:val="00CA42AE"/>
    <w:rsid w:val="00D549DF"/>
    <w:rsid w:val="00D73220"/>
    <w:rsid w:val="00DC5AF0"/>
    <w:rsid w:val="00DC71E4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CF34D-E407-4A82-B683-91F6F011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7</cp:revision>
  <cp:lastPrinted>2024-12-23T11:25:00Z</cp:lastPrinted>
  <dcterms:created xsi:type="dcterms:W3CDTF">2025-09-09T11:34:00Z</dcterms:created>
  <dcterms:modified xsi:type="dcterms:W3CDTF">2025-11-27T10:54:00Z</dcterms:modified>
</cp:coreProperties>
</file>