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7A75C7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34535">
        <w:rPr>
          <w:rFonts w:ascii="Times New Roman" w:hAnsi="Times New Roman" w:cs="Times New Roman"/>
          <w:sz w:val="24"/>
          <w:szCs w:val="24"/>
        </w:rPr>
        <w:t>24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34535">
        <w:rPr>
          <w:rFonts w:ascii="Times New Roman" w:hAnsi="Times New Roman" w:cs="Times New Roman"/>
          <w:sz w:val="24"/>
          <w:szCs w:val="24"/>
        </w:rPr>
        <w:t>518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F34535">
        <w:rPr>
          <w:rFonts w:ascii="Times New Roman" w:hAnsi="Times New Roman" w:cs="Times New Roman"/>
          <w:sz w:val="24"/>
          <w:szCs w:val="24"/>
        </w:rPr>
        <w:t>О</w:t>
      </w:r>
      <w:r w:rsidR="00F34535" w:rsidRPr="00F34535">
        <w:rPr>
          <w:rFonts w:ascii="Times New Roman" w:hAnsi="Times New Roman" w:cs="Times New Roman"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обществом с </w:t>
      </w:r>
      <w:r w:rsidR="001E08FF">
        <w:rPr>
          <w:rFonts w:ascii="Times New Roman" w:hAnsi="Times New Roman" w:cs="Times New Roman"/>
          <w:sz w:val="24"/>
          <w:szCs w:val="24"/>
        </w:rPr>
        <w:t>ограниченной ответственностью «</w:t>
      </w:r>
      <w:proofErr w:type="spellStart"/>
      <w:r w:rsidR="001E08FF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1E08FF">
        <w:rPr>
          <w:rFonts w:ascii="Times New Roman" w:hAnsi="Times New Roman" w:cs="Times New Roman"/>
          <w:sz w:val="24"/>
          <w:szCs w:val="24"/>
        </w:rPr>
        <w:t>»</w:t>
      </w:r>
      <w:r w:rsidR="004F7480">
        <w:rPr>
          <w:rFonts w:ascii="Times New Roman" w:hAnsi="Times New Roman" w:cs="Times New Roman"/>
          <w:sz w:val="24"/>
          <w:szCs w:val="24"/>
        </w:rPr>
        <w:t xml:space="preserve"> потребителям на территории Л</w:t>
      </w:r>
      <w:r w:rsidR="00F34535" w:rsidRPr="00F34535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C0054C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C0054C">
          <w:rPr>
            <w:rFonts w:ascii="Times New Roman" w:hAnsi="Times New Roman" w:cs="Times New Roman"/>
            <w:szCs w:val="24"/>
          </w:rPr>
          <w:t>законом</w:t>
        </w:r>
      </w:hyperlink>
      <w:r w:rsidRPr="00C0054C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C0054C">
          <w:rPr>
            <w:rFonts w:ascii="Times New Roman" w:hAnsi="Times New Roman" w:cs="Times New Roman"/>
            <w:szCs w:val="24"/>
          </w:rPr>
          <w:t>законом</w:t>
        </w:r>
      </w:hyperlink>
      <w:r w:rsidRPr="00C0054C">
        <w:rPr>
          <w:rFonts w:ascii="Times New Roman" w:hAnsi="Times New Roman" w:cs="Times New Roman"/>
          <w:szCs w:val="24"/>
        </w:rPr>
        <w:t xml:space="preserve"> от 7 декабря 2011 года № 416-ФЗ «О водоснабжении и водоотведении», </w:t>
      </w:r>
      <w:hyperlink r:id="rId9">
        <w:r w:rsidRPr="00C0054C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C0054C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C0054C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C0054C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480288" w:rsidRPr="00480288">
        <w:rPr>
          <w:rFonts w:ascii="Times New Roman" w:hAnsi="Times New Roman" w:cs="Times New Roman"/>
          <w:szCs w:val="24"/>
        </w:rPr>
        <w:t>постановлением</w:t>
      </w:r>
      <w:proofErr w:type="gramEnd"/>
      <w:r w:rsidR="00480288" w:rsidRPr="00480288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80288" w:rsidRPr="00480288">
        <w:rPr>
          <w:rFonts w:ascii="Times New Roman" w:hAnsi="Times New Roman" w:cs="Times New Roman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1">
        <w:r w:rsidRPr="00C0054C">
          <w:rPr>
            <w:rFonts w:ascii="Times New Roman" w:hAnsi="Times New Roman" w:cs="Times New Roman"/>
            <w:szCs w:val="24"/>
          </w:rPr>
          <w:t>приказом</w:t>
        </w:r>
      </w:hyperlink>
      <w:r w:rsidRPr="00C0054C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C0054C">
          <w:rPr>
            <w:rFonts w:ascii="Times New Roman" w:hAnsi="Times New Roman" w:cs="Times New Roman"/>
            <w:szCs w:val="24"/>
          </w:rPr>
          <w:t>приказом</w:t>
        </w:r>
      </w:hyperlink>
      <w:r w:rsidRPr="00C0054C">
        <w:rPr>
          <w:rFonts w:ascii="Times New Roman" w:hAnsi="Times New Roman" w:cs="Times New Roman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C0054C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C0054C">
        <w:rPr>
          <w:rFonts w:ascii="Times New Roman" w:hAnsi="Times New Roman" w:cs="Times New Roman"/>
          <w:szCs w:val="24"/>
        </w:rPr>
        <w:t xml:space="preserve">тарифов в сфере теплоснабжения», </w:t>
      </w:r>
      <w:hyperlink r:id="rId13">
        <w:r w:rsidRPr="00C0054C">
          <w:rPr>
            <w:rFonts w:ascii="Times New Roman" w:hAnsi="Times New Roman" w:cs="Times New Roman"/>
            <w:szCs w:val="24"/>
          </w:rPr>
          <w:t>приказом</w:t>
        </w:r>
      </w:hyperlink>
      <w:r w:rsidRPr="00C0054C">
        <w:rPr>
          <w:rFonts w:ascii="Times New Roman" w:hAnsi="Times New Roman" w:cs="Times New Roman"/>
          <w:szCs w:val="24"/>
        </w:rPr>
        <w:t xml:space="preserve"> ФСТ России от 27 декабря 2013 № 1746-э «Об утверждении Методических указаний по расчету регулируемых тарифов в сфере водоснабжения и водоотведения», </w:t>
      </w:r>
      <w:hyperlink r:id="rId14">
        <w:r w:rsidRPr="00C0054C">
          <w:rPr>
            <w:rFonts w:ascii="Times New Roman" w:hAnsi="Times New Roman" w:cs="Times New Roman"/>
            <w:szCs w:val="24"/>
          </w:rPr>
          <w:t>Положением</w:t>
        </w:r>
      </w:hyperlink>
      <w:r w:rsidRPr="00C0054C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</w:t>
      </w:r>
      <w:proofErr w:type="gramEnd"/>
      <w:r w:rsidRPr="00C0054C">
        <w:rPr>
          <w:rFonts w:ascii="Times New Roman" w:hAnsi="Times New Roman" w:cs="Times New Roman"/>
          <w:szCs w:val="24"/>
        </w:rPr>
        <w:t xml:space="preserve"> </w:t>
      </w:r>
      <w:r w:rsidR="00311E70">
        <w:rPr>
          <w:rFonts w:ascii="Times New Roman" w:hAnsi="Times New Roman" w:cs="Times New Roman"/>
          <w:szCs w:val="24"/>
        </w:rPr>
        <w:t xml:space="preserve">от </w:t>
      </w:r>
      <w:r w:rsidR="006F3A62" w:rsidRPr="00C0054C">
        <w:rPr>
          <w:rFonts w:ascii="Times New Roman" w:hAnsi="Times New Roman" w:cs="Times New Roman"/>
          <w:szCs w:val="24"/>
        </w:rPr>
        <w:t xml:space="preserve">__ </w:t>
      </w:r>
      <w:r w:rsidR="00AE32A2" w:rsidRPr="00C0054C">
        <w:rPr>
          <w:rFonts w:ascii="Times New Roman" w:hAnsi="Times New Roman" w:cs="Times New Roman"/>
          <w:szCs w:val="24"/>
        </w:rPr>
        <w:t>декабря</w:t>
      </w:r>
      <w:r w:rsidR="006F3A62" w:rsidRPr="00C0054C">
        <w:rPr>
          <w:rFonts w:ascii="Times New Roman" w:hAnsi="Times New Roman" w:cs="Times New Roman"/>
          <w:szCs w:val="24"/>
        </w:rPr>
        <w:t xml:space="preserve"> 20</w:t>
      </w:r>
      <w:r w:rsidR="00EB0348" w:rsidRPr="00C0054C">
        <w:rPr>
          <w:rFonts w:ascii="Times New Roman" w:hAnsi="Times New Roman" w:cs="Times New Roman"/>
          <w:szCs w:val="24"/>
        </w:rPr>
        <w:t>25</w:t>
      </w:r>
      <w:r w:rsidR="006F3A62" w:rsidRPr="00C0054C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C0054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C0054C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приказываю:</w:t>
      </w:r>
    </w:p>
    <w:p w:rsidR="00975F00" w:rsidRPr="00C0054C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Pr="00C0054C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1.</w:t>
      </w:r>
      <w:r w:rsidR="00732A6D" w:rsidRPr="00C0054C">
        <w:rPr>
          <w:rFonts w:ascii="Times New Roman" w:hAnsi="Times New Roman" w:cs="Times New Roman"/>
          <w:szCs w:val="24"/>
        </w:rPr>
        <w:t xml:space="preserve"> </w:t>
      </w:r>
      <w:r w:rsidRPr="00C0054C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7A75C7" w:rsidRPr="00C0054C">
        <w:rPr>
          <w:rFonts w:ascii="Times New Roman" w:hAnsi="Times New Roman" w:cs="Times New Roman"/>
          <w:szCs w:val="24"/>
        </w:rPr>
        <w:t>20</w:t>
      </w:r>
      <w:r w:rsidRPr="00C0054C">
        <w:rPr>
          <w:rFonts w:ascii="Times New Roman" w:hAnsi="Times New Roman" w:cs="Times New Roman"/>
          <w:szCs w:val="24"/>
        </w:rPr>
        <w:t xml:space="preserve"> декабря 20</w:t>
      </w:r>
      <w:r w:rsidR="00C0054C" w:rsidRPr="00C0054C">
        <w:rPr>
          <w:rFonts w:ascii="Times New Roman" w:hAnsi="Times New Roman" w:cs="Times New Roman"/>
          <w:szCs w:val="24"/>
        </w:rPr>
        <w:t>24</w:t>
      </w:r>
      <w:r w:rsidRPr="00C0054C">
        <w:rPr>
          <w:rFonts w:ascii="Times New Roman" w:hAnsi="Times New Roman" w:cs="Times New Roman"/>
          <w:szCs w:val="24"/>
        </w:rPr>
        <w:t xml:space="preserve"> года № </w:t>
      </w:r>
      <w:r w:rsidR="00C0054C" w:rsidRPr="00C0054C">
        <w:rPr>
          <w:rFonts w:ascii="Times New Roman" w:hAnsi="Times New Roman" w:cs="Times New Roman"/>
          <w:szCs w:val="24"/>
        </w:rPr>
        <w:t>518</w:t>
      </w:r>
      <w:r w:rsidRPr="00C0054C">
        <w:rPr>
          <w:rFonts w:ascii="Times New Roman" w:hAnsi="Times New Roman" w:cs="Times New Roman"/>
          <w:szCs w:val="24"/>
        </w:rPr>
        <w:t>-п  «</w:t>
      </w:r>
      <w:r w:rsidR="007A75C7" w:rsidRPr="00C0054C">
        <w:rPr>
          <w:rFonts w:ascii="Times New Roman" w:hAnsi="Times New Roman" w:cs="Times New Roman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C0054C" w:rsidRPr="00C0054C">
        <w:rPr>
          <w:rFonts w:ascii="Times New Roman" w:hAnsi="Times New Roman" w:cs="Times New Roman"/>
          <w:szCs w:val="24"/>
        </w:rPr>
        <w:t>обществом с ограниченной ответственностью «</w:t>
      </w:r>
      <w:proofErr w:type="spellStart"/>
      <w:r w:rsidR="00C0054C" w:rsidRPr="00C0054C">
        <w:rPr>
          <w:rFonts w:ascii="Times New Roman" w:hAnsi="Times New Roman" w:cs="Times New Roman"/>
          <w:szCs w:val="24"/>
        </w:rPr>
        <w:t>Петербургтеплоэнер</w:t>
      </w:r>
      <w:r w:rsidR="004F7480">
        <w:rPr>
          <w:rFonts w:ascii="Times New Roman" w:hAnsi="Times New Roman" w:cs="Times New Roman"/>
          <w:szCs w:val="24"/>
        </w:rPr>
        <w:t>го</w:t>
      </w:r>
      <w:proofErr w:type="spellEnd"/>
      <w:r w:rsidR="004F7480">
        <w:rPr>
          <w:rFonts w:ascii="Times New Roman" w:hAnsi="Times New Roman" w:cs="Times New Roman"/>
          <w:szCs w:val="24"/>
        </w:rPr>
        <w:t>» потребителям на территории Л</w:t>
      </w:r>
      <w:r w:rsidR="00C0054C" w:rsidRPr="00C0054C">
        <w:rPr>
          <w:rFonts w:ascii="Times New Roman" w:hAnsi="Times New Roman" w:cs="Times New Roman"/>
          <w:szCs w:val="24"/>
        </w:rPr>
        <w:t>енинградской области, на долгосрочный период регулирования 2025-2029 годов</w:t>
      </w:r>
      <w:r w:rsidRPr="00C0054C">
        <w:rPr>
          <w:rFonts w:ascii="Times New Roman" w:hAnsi="Times New Roman" w:cs="Times New Roman"/>
          <w:szCs w:val="24"/>
        </w:rPr>
        <w:t xml:space="preserve">» </w:t>
      </w:r>
      <w:r w:rsidR="00732A6D" w:rsidRPr="00C0054C">
        <w:rPr>
          <w:rFonts w:ascii="Times New Roman" w:hAnsi="Times New Roman" w:cs="Times New Roman"/>
          <w:szCs w:val="24"/>
        </w:rPr>
        <w:t>следующие изменени</w:t>
      </w:r>
      <w:r w:rsidR="00F43C95" w:rsidRPr="00C0054C">
        <w:rPr>
          <w:rFonts w:ascii="Times New Roman" w:hAnsi="Times New Roman" w:cs="Times New Roman"/>
          <w:szCs w:val="24"/>
        </w:rPr>
        <w:t>я</w:t>
      </w:r>
      <w:r w:rsidR="00732A6D" w:rsidRPr="00C0054C">
        <w:rPr>
          <w:rFonts w:ascii="Times New Roman" w:hAnsi="Times New Roman" w:cs="Times New Roman"/>
          <w:szCs w:val="24"/>
        </w:rPr>
        <w:t>:</w:t>
      </w:r>
    </w:p>
    <w:p w:rsidR="007E7CC1" w:rsidRPr="00C0054C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C0054C">
        <w:rPr>
          <w:rFonts w:ascii="Times New Roman" w:hAnsi="Times New Roman"/>
          <w:szCs w:val="24"/>
        </w:rPr>
        <w:t xml:space="preserve">Приложение 1 к приказу изложить в редакции согласно приложению 1 </w:t>
      </w:r>
      <w:r w:rsidR="007E7CC1" w:rsidRPr="00C0054C">
        <w:rPr>
          <w:rFonts w:ascii="Times New Roman" w:hAnsi="Times New Roman"/>
          <w:szCs w:val="24"/>
        </w:rPr>
        <w:t>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7E7CC1" w:rsidRPr="00C0054C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2 к приказу изложить в редакции сог</w:t>
      </w:r>
      <w:r w:rsidR="007E7CC1" w:rsidRPr="00C0054C">
        <w:rPr>
          <w:rFonts w:ascii="Times New Roman" w:hAnsi="Times New Roman"/>
          <w:szCs w:val="24"/>
        </w:rPr>
        <w:t>ласно приложению 2 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C0054C" w:rsidRPr="00C0054C" w:rsidRDefault="00C0054C" w:rsidP="00C0054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C0054C" w:rsidRPr="00C0054C" w:rsidRDefault="00C0054C" w:rsidP="00C005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C0054C" w:rsidRPr="00C0054C" w:rsidRDefault="00C0054C" w:rsidP="00C0054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4 к приказу изложить в редакции согласно приложению 4 к настоящему</w:t>
      </w:r>
    </w:p>
    <w:p w:rsidR="00C0054C" w:rsidRPr="00C0054C" w:rsidRDefault="00C0054C" w:rsidP="00C005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C0054C" w:rsidRPr="00C0054C" w:rsidRDefault="00C0054C" w:rsidP="00C0054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5 к приказу изложить в редакции согласно приложению 5 к настоящему</w:t>
      </w:r>
    </w:p>
    <w:p w:rsidR="00C0054C" w:rsidRPr="00C0054C" w:rsidRDefault="00C0054C" w:rsidP="00C005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F3A62" w:rsidRPr="00C0054C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80288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Pr="00C0054C" w:rsidRDefault="006F3A62" w:rsidP="00C00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0054C" w:rsidRPr="00C0054C" w:rsidRDefault="00CF1079" w:rsidP="00C005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0054C" w:rsidRPr="00C0054C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C0054C" w:rsidRPr="00C0054C" w:rsidRDefault="00C0054C" w:rsidP="00C0054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644"/>
        <w:gridCol w:w="1077"/>
        <w:gridCol w:w="794"/>
        <w:gridCol w:w="907"/>
        <w:gridCol w:w="964"/>
        <w:gridCol w:w="850"/>
        <w:gridCol w:w="964"/>
      </w:tblGrid>
      <w:tr w:rsidR="00C0054C" w:rsidRPr="00C0054C" w:rsidTr="00EB787E">
        <w:tc>
          <w:tcPr>
            <w:tcW w:w="510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64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54C" w:rsidRPr="00C0054C" w:rsidTr="00EB787E">
        <w:tc>
          <w:tcPr>
            <w:tcW w:w="510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газовой котельной, расположенной по адресу: п. Толмачево, ул. Парк, 2-а),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(от газовой котельной, расположенной по адресу: д. Каменка, ул. Школьная, 6а),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Ретюнское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Сосновское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газовой котельной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расположенной по адресу: г.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Охтинская аллея, стр. 13) Всеволожского муниципального района Ленинградской области, Приморское городское поселение Выборгского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Староладожское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2048,60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2513,12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2715,49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3266,18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561" w:type="dxa"/>
            <w:gridSpan w:val="8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Торковичское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(от газовой котельной, расположенной по адресу: д.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Заклинье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Новая, д. 38),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источников, расположенных по адресам: д.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Жельцы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п. Плоское, ул. Заводская, д. 16-б;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Толмачёво,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Тосики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Рабочая, д. 14)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Мичуринское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Никольское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Всеволожского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Выскатское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Гостицкое</w:t>
            </w:r>
            <w:proofErr w:type="spellEnd"/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3718,21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4561,42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4928,38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5148,39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5148,39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4694,65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4694,65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5401,64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61" w:type="dxa"/>
            <w:gridSpan w:val="8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Борское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3347,82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4106,94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4435,99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4635,61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4635,61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4227,67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4227,67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54C" w:rsidRPr="00C0054C" w:rsidTr="00EB787E">
        <w:tc>
          <w:tcPr>
            <w:tcW w:w="510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4866,05</w:t>
            </w:r>
          </w:p>
        </w:tc>
        <w:tc>
          <w:tcPr>
            <w:tcW w:w="79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F1079" w:rsidRPr="00975F00" w:rsidRDefault="00CF1079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Pr="00C0054C" w:rsidRDefault="00CF1079" w:rsidP="00C005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0054C" w:rsidRPr="00C0054C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2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C0054C" w:rsidRPr="00C0054C" w:rsidRDefault="00C0054C" w:rsidP="00C0054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8"/>
        <w:gridCol w:w="3118"/>
        <w:gridCol w:w="1701"/>
        <w:gridCol w:w="1849"/>
      </w:tblGrid>
      <w:tr w:rsidR="00C0054C" w:rsidRPr="00C0054C" w:rsidTr="00EB787E">
        <w:tc>
          <w:tcPr>
            <w:tcW w:w="454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C0054C" w:rsidRPr="00C0054C" w:rsidTr="00EB787E">
        <w:tc>
          <w:tcPr>
            <w:tcW w:w="454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6" w:type="dxa"/>
            <w:gridSpan w:val="4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газовой котельной, расположенной по адресу: п. Толмачево, ул. Парк, 2-а),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(от газовой котельной, расположенной по адресу: д. Каменка, ул. Школьная, 6а),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Ретюнское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Сосновское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газовой котельной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расположенной по адресу: п.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Охтинская аллея, стр. 13) Всеволожского муниципального района Ленинградской области, Приморское городское поселение Выборгского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Староладожское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66,83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2048,60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66,83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2513,12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2715,49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73,14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73,14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78,51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78,51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79,56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3266,18</w:t>
            </w:r>
          </w:p>
        </w:tc>
      </w:tr>
      <w:tr w:rsidR="00C0054C" w:rsidRPr="00C0054C" w:rsidTr="00EB787E">
        <w:tc>
          <w:tcPr>
            <w:tcW w:w="454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6" w:type="dxa"/>
            <w:gridSpan w:val="4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Торковичское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(от газовой котельной, расположенной по адресу: д.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Заклинье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Новая, д. 38),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источников, расположенных по адресам: д.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Жельцы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п. Плоское, ул. Заводская, д. 16-б;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Толмачёво,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Тосики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Рабочая, д. 14)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Мичуринское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Никольское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Всеволожского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Выскатское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Гостицкое</w:t>
            </w:r>
            <w:proofErr w:type="spellEnd"/>
            <w:proofErr w:type="gram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66,83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3718,21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66,83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4561,42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701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917647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="00C0054C"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.2027 по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C0054C"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4928,38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72,51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5148,39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72,51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5148,39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79,69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4694,65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79,69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4694,65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78,43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5401,64</w:t>
            </w:r>
          </w:p>
        </w:tc>
      </w:tr>
      <w:tr w:rsidR="00C0054C" w:rsidRPr="00C0054C" w:rsidTr="00EB787E">
        <w:tc>
          <w:tcPr>
            <w:tcW w:w="454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6" w:type="dxa"/>
            <w:gridSpan w:val="4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Борское сельское поселение </w:t>
            </w:r>
            <w:proofErr w:type="spellStart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 w:val="restart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53,97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3347,82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57,10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4106,94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701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C0054C" w:rsidRPr="00C0054C" w:rsidRDefault="00836AC4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4435,99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4635,61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4635,61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4227,67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4227,67</w:t>
            </w:r>
          </w:p>
        </w:tc>
      </w:tr>
      <w:tr w:rsidR="00C0054C" w:rsidRPr="00C0054C" w:rsidTr="00EB787E">
        <w:tc>
          <w:tcPr>
            <w:tcW w:w="454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701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66,99</w:t>
            </w:r>
          </w:p>
        </w:tc>
        <w:tc>
          <w:tcPr>
            <w:tcW w:w="1849" w:type="dxa"/>
          </w:tcPr>
          <w:p w:rsidR="00C0054C" w:rsidRPr="00C0054C" w:rsidRDefault="00C0054C" w:rsidP="00C00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4866,05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Pr="00B55CE1" w:rsidRDefault="00796843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79" w:rsidRPr="00B55CE1" w:rsidRDefault="00CF1079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CF1079" w:rsidP="00836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36AC4" w:rsidRPr="00836AC4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по передаче тепловой энергии, приобретающему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 в целях компенсации потерь в тепловых сетях,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2025-2029 годов</w:t>
      </w:r>
    </w:p>
    <w:p w:rsidR="00836AC4" w:rsidRPr="00836AC4" w:rsidRDefault="00836AC4" w:rsidP="00836AC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644"/>
        <w:gridCol w:w="1077"/>
        <w:gridCol w:w="794"/>
        <w:gridCol w:w="907"/>
        <w:gridCol w:w="964"/>
        <w:gridCol w:w="850"/>
        <w:gridCol w:w="964"/>
      </w:tblGrid>
      <w:tr w:rsidR="00836AC4" w:rsidRPr="00836AC4" w:rsidTr="00EB787E">
        <w:tc>
          <w:tcPr>
            <w:tcW w:w="510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64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AC4" w:rsidRPr="00836AC4" w:rsidTr="00EB787E">
        <w:tc>
          <w:tcPr>
            <w:tcW w:w="510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(от газовой котельной, расположенной по адресу: г.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Охтинская аллея, стр. 13),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2048,60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2513,12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2715,49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3266,18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F1079" w:rsidRPr="00EB0348" w:rsidRDefault="00CF1079" w:rsidP="00836AC4">
      <w:pPr>
        <w:jc w:val="both"/>
        <w:rPr>
          <w:rFonts w:ascii="Times New Roman" w:hAnsi="Times New Roman" w:cs="Times New Roman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CF1079" w:rsidP="00836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36AC4" w:rsidRPr="00836AC4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омплект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по передаче тепловой энергии, приобретающему</w:t>
      </w:r>
    </w:p>
    <w:p w:rsidR="00836AC4" w:rsidRPr="00836AC4" w:rsidRDefault="00CF1079" w:rsidP="00836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 в целях компенсации потерь в тепловых сетях</w:t>
      </w:r>
    </w:p>
    <w:p w:rsidR="00836AC4" w:rsidRPr="00836AC4" w:rsidRDefault="00836AC4" w:rsidP="00836AC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644"/>
        <w:gridCol w:w="1077"/>
        <w:gridCol w:w="794"/>
        <w:gridCol w:w="907"/>
        <w:gridCol w:w="964"/>
        <w:gridCol w:w="850"/>
        <w:gridCol w:w="964"/>
      </w:tblGrid>
      <w:tr w:rsidR="00836AC4" w:rsidRPr="00836AC4" w:rsidTr="00EB787E">
        <w:tc>
          <w:tcPr>
            <w:tcW w:w="510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64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AC4" w:rsidRPr="00836AC4" w:rsidTr="00EB787E">
        <w:tc>
          <w:tcPr>
            <w:tcW w:w="510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2048,60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2513,12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2715,49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2837,69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6AC4" w:rsidRPr="00836AC4" w:rsidTr="00EB787E">
        <w:tc>
          <w:tcPr>
            <w:tcW w:w="510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3266,18</w:t>
            </w:r>
          </w:p>
        </w:tc>
        <w:tc>
          <w:tcPr>
            <w:tcW w:w="79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79" w:rsidRPr="00836AC4" w:rsidRDefault="00CF1079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CF1079" w:rsidP="00836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лата</w:t>
      </w:r>
    </w:p>
    <w:p w:rsidR="00836AC4" w:rsidRPr="00836AC4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услуги по поддержанию резервной тепловой мощности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отдельных категорий социально значимых потребителей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отсутствии потребления тепловой энергии,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оказываемые обществом с ограниченной ответственностью</w:t>
      </w:r>
    </w:p>
    <w:p w:rsidR="00836AC4" w:rsidRPr="00836AC4" w:rsidRDefault="00CF1079" w:rsidP="00CF1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2025-2028 годов</w:t>
      </w:r>
    </w:p>
    <w:p w:rsidR="00836AC4" w:rsidRPr="00836AC4" w:rsidRDefault="00836AC4" w:rsidP="00836AC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услуги по поддержанию резервной тепловой мощности, тыс. руб./Гкал/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</w:tr>
      <w:tr w:rsidR="00836AC4" w:rsidRPr="00836AC4" w:rsidTr="00EB787E">
        <w:tc>
          <w:tcPr>
            <w:tcW w:w="9071" w:type="dxa"/>
            <w:gridSpan w:val="2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Борское сельское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Староладожское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Всеволожского муниципального района Ленинградской области, Приморское городское поселение Выборгского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proofErr w:type="gram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Ретюнское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Торковичское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Никольское городское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Мичуринское сельское поселение, Сосновское сельское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Выскатское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Гостицкое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Сланцевского</w:t>
            </w:r>
            <w:proofErr w:type="spellEnd"/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proofErr w:type="gramEnd"/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183,09</w:t>
            </w:r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91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157,13</w:t>
            </w:r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31.12.2026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31.12.2027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449,17</w:t>
            </w:r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31.12.2028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435,47</w:t>
            </w:r>
          </w:p>
        </w:tc>
      </w:tr>
      <w:tr w:rsidR="00836AC4" w:rsidRPr="00836AC4" w:rsidTr="00EB787E">
        <w:tc>
          <w:tcPr>
            <w:tcW w:w="5443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31.12.2029</w:t>
            </w:r>
          </w:p>
        </w:tc>
        <w:tc>
          <w:tcPr>
            <w:tcW w:w="3628" w:type="dxa"/>
          </w:tcPr>
          <w:p w:rsidR="00836AC4" w:rsidRPr="00836AC4" w:rsidRDefault="00836AC4" w:rsidP="0083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447,78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A052E"/>
    <w:rsid w:val="00146DBF"/>
    <w:rsid w:val="001E08FF"/>
    <w:rsid w:val="00292244"/>
    <w:rsid w:val="002B5F36"/>
    <w:rsid w:val="00311E70"/>
    <w:rsid w:val="003A6DD4"/>
    <w:rsid w:val="003E0C3F"/>
    <w:rsid w:val="004619C3"/>
    <w:rsid w:val="00480288"/>
    <w:rsid w:val="004F7480"/>
    <w:rsid w:val="006356D3"/>
    <w:rsid w:val="0064738F"/>
    <w:rsid w:val="006823E8"/>
    <w:rsid w:val="006F3A62"/>
    <w:rsid w:val="00721351"/>
    <w:rsid w:val="00732A6D"/>
    <w:rsid w:val="007655C6"/>
    <w:rsid w:val="00796843"/>
    <w:rsid w:val="007A75C7"/>
    <w:rsid w:val="007E7CC1"/>
    <w:rsid w:val="007F08B6"/>
    <w:rsid w:val="00835AAB"/>
    <w:rsid w:val="00836AC4"/>
    <w:rsid w:val="008A6D4A"/>
    <w:rsid w:val="00917647"/>
    <w:rsid w:val="00975F00"/>
    <w:rsid w:val="00985963"/>
    <w:rsid w:val="00AC1F1D"/>
    <w:rsid w:val="00AD76A3"/>
    <w:rsid w:val="00AE32A2"/>
    <w:rsid w:val="00B55CE1"/>
    <w:rsid w:val="00C0054C"/>
    <w:rsid w:val="00C03DB3"/>
    <w:rsid w:val="00C42795"/>
    <w:rsid w:val="00CA42AE"/>
    <w:rsid w:val="00CF1079"/>
    <w:rsid w:val="00D4080B"/>
    <w:rsid w:val="00D549DF"/>
    <w:rsid w:val="00DC71E4"/>
    <w:rsid w:val="00EB0348"/>
    <w:rsid w:val="00F34535"/>
    <w:rsid w:val="00F43C95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BEDA-8F94-4F3F-AA3D-331D5E46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12</cp:revision>
  <cp:lastPrinted>2024-12-23T11:25:00Z</cp:lastPrinted>
  <dcterms:created xsi:type="dcterms:W3CDTF">2025-09-08T12:13:00Z</dcterms:created>
  <dcterms:modified xsi:type="dcterms:W3CDTF">2025-11-27T11:30:00Z</dcterms:modified>
</cp:coreProperties>
</file>