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257858">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257858">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257858">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09494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в </w:t>
      </w:r>
      <w:r w:rsidR="001158F0" w:rsidRPr="001158F0">
        <w:rPr>
          <w:rFonts w:ascii="Times New Roman" w:hAnsi="Times New Roman" w:cs="Times New Roman"/>
          <w:b/>
          <w:bCs/>
          <w:iCs/>
          <w:sz w:val="24"/>
          <w:szCs w:val="24"/>
        </w:rPr>
        <w:t xml:space="preserve">границах муниципального образования </w:t>
      </w:r>
      <w:r w:rsidR="00F21FE6">
        <w:rPr>
          <w:rFonts w:ascii="Times New Roman" w:hAnsi="Times New Roman" w:cs="Times New Roman"/>
          <w:b/>
          <w:bCs/>
          <w:iCs/>
          <w:sz w:val="24"/>
          <w:szCs w:val="24"/>
        </w:rPr>
        <w:t>Волосовский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A95AB6" w:rsidRPr="008C6EB6" w:rsidRDefault="00A95AB6"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E73E3">
        <w:rPr>
          <w:color w:val="000000" w:themeColor="text1"/>
        </w:rPr>
        <w:t xml:space="preserve"> </w:t>
      </w:r>
      <w:r w:rsidR="00BE73E3" w:rsidRPr="00BE73E3">
        <w:rPr>
          <w:rFonts w:ascii="Times New Roman" w:hAnsi="Times New Roman" w:cs="Times New Roman"/>
          <w:color w:val="000000" w:themeColor="text1"/>
          <w:sz w:val="24"/>
        </w:rPr>
        <w:t>п</w:t>
      </w:r>
      <w:r w:rsidR="00BE73E3" w:rsidRPr="00BE73E3">
        <w:rPr>
          <w:rFonts w:ascii="Times New Roman" w:hAnsi="Times New Roman" w:cs="Times New Roman"/>
          <w:sz w:val="24"/>
          <w:szCs w:val="24"/>
        </w:rPr>
        <w:t>остановлением администрации Волосовского муниципального района Л</w:t>
      </w:r>
      <w:r w:rsidR="00BE73E3">
        <w:rPr>
          <w:rFonts w:ascii="Times New Roman" w:hAnsi="Times New Roman" w:cs="Times New Roman"/>
          <w:sz w:val="24"/>
          <w:szCs w:val="24"/>
        </w:rPr>
        <w:t xml:space="preserve">енинградской области от 28 февраля </w:t>
      </w:r>
      <w:r w:rsidR="00BE73E3" w:rsidRPr="00BE73E3">
        <w:rPr>
          <w:rFonts w:ascii="Times New Roman" w:hAnsi="Times New Roman" w:cs="Times New Roman"/>
          <w:sz w:val="24"/>
          <w:szCs w:val="24"/>
        </w:rPr>
        <w:t>2023</w:t>
      </w:r>
      <w:r w:rsidR="00BE73E3">
        <w:rPr>
          <w:rFonts w:ascii="Times New Roman" w:hAnsi="Times New Roman" w:cs="Times New Roman"/>
          <w:sz w:val="24"/>
          <w:szCs w:val="24"/>
        </w:rPr>
        <w:t xml:space="preserve"> года</w:t>
      </w:r>
      <w:r w:rsidR="00BE73E3" w:rsidRPr="00BE73E3">
        <w:rPr>
          <w:rFonts w:ascii="Times New Roman" w:hAnsi="Times New Roman" w:cs="Times New Roman"/>
          <w:sz w:val="24"/>
          <w:szCs w:val="24"/>
        </w:rPr>
        <w:t xml:space="preserve"> № 158 «Об утверждении реестра муниципальных маршрутов регулярных перевозок Волосовского муниципального района Ленинградской области»</w:t>
      </w:r>
      <w:r w:rsidR="00BE73E3">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A60C71">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заседания правления комитета по тарифам и ценовой</w:t>
      </w:r>
      <w:r w:rsidR="00A60C71">
        <w:rPr>
          <w:rFonts w:ascii="Times New Roman" w:hAnsi="Times New Roman" w:cs="Times New Roman"/>
          <w:sz w:val="24"/>
          <w:szCs w:val="24"/>
        </w:rPr>
        <w:t xml:space="preserve">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A95A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BE73E3">
        <w:rPr>
          <w:sz w:val="24"/>
          <w:szCs w:val="24"/>
        </w:rPr>
        <w:t>Волосовский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 xml:space="preserve">к </w:t>
      </w:r>
      <w:r w:rsidR="00BA58B8" w:rsidRPr="00A95AB6">
        <w:rPr>
          <w:sz w:val="24"/>
          <w:szCs w:val="24"/>
        </w:rPr>
        <w:t>настоящему приказу</w:t>
      </w:r>
      <w:r w:rsidRPr="00A95AB6">
        <w:rPr>
          <w:sz w:val="24"/>
          <w:szCs w:val="24"/>
        </w:rPr>
        <w:t>.</w:t>
      </w:r>
    </w:p>
    <w:p w:rsidR="008C6EB6" w:rsidRPr="00A95AB6" w:rsidRDefault="008C6EB6" w:rsidP="00BE73E3">
      <w:pPr>
        <w:pStyle w:val="ac"/>
        <w:numPr>
          <w:ilvl w:val="0"/>
          <w:numId w:val="2"/>
        </w:numPr>
        <w:tabs>
          <w:tab w:val="left" w:pos="1134"/>
        </w:tabs>
        <w:spacing w:after="0"/>
        <w:ind w:left="0" w:firstLine="709"/>
        <w:contextualSpacing/>
        <w:jc w:val="both"/>
        <w:rPr>
          <w:sz w:val="24"/>
          <w:szCs w:val="24"/>
        </w:rPr>
      </w:pPr>
      <w:r w:rsidRPr="00A95AB6">
        <w:rPr>
          <w:sz w:val="24"/>
          <w:szCs w:val="24"/>
        </w:rPr>
        <w:t xml:space="preserve">Признать утратившими силу с 1 </w:t>
      </w:r>
      <w:r w:rsidR="00A95AB6" w:rsidRPr="00A95AB6">
        <w:rPr>
          <w:sz w:val="24"/>
          <w:szCs w:val="24"/>
        </w:rPr>
        <w:t>январ</w:t>
      </w:r>
      <w:r w:rsidR="00BA5B56" w:rsidRPr="00A95AB6">
        <w:rPr>
          <w:sz w:val="24"/>
          <w:szCs w:val="24"/>
        </w:rPr>
        <w:t>я</w:t>
      </w:r>
      <w:r w:rsidRPr="00A95AB6">
        <w:rPr>
          <w:sz w:val="24"/>
          <w:szCs w:val="24"/>
        </w:rPr>
        <w:t xml:space="preserve"> 202</w:t>
      </w:r>
      <w:r w:rsidR="00BA5B56" w:rsidRPr="00A95AB6">
        <w:rPr>
          <w:sz w:val="24"/>
          <w:szCs w:val="24"/>
        </w:rPr>
        <w:t>6</w:t>
      </w:r>
      <w:r w:rsidRPr="00A95AB6">
        <w:rPr>
          <w:sz w:val="24"/>
          <w:szCs w:val="24"/>
        </w:rPr>
        <w:t xml:space="preserve"> го</w:t>
      </w:r>
      <w:r w:rsidR="00BE73E3">
        <w:rPr>
          <w:sz w:val="24"/>
          <w:szCs w:val="24"/>
        </w:rPr>
        <w:t xml:space="preserve">да приказ комитета по тарифам и </w:t>
      </w:r>
      <w:r w:rsidRPr="00A95AB6">
        <w:rPr>
          <w:sz w:val="24"/>
          <w:szCs w:val="24"/>
        </w:rPr>
        <w:t xml:space="preserve">ценовой политике Ленинградской области от </w:t>
      </w:r>
      <w:r w:rsidR="00BE73E3">
        <w:rPr>
          <w:sz w:val="24"/>
          <w:szCs w:val="24"/>
        </w:rPr>
        <w:t>11</w:t>
      </w:r>
      <w:r w:rsidRPr="00A95AB6">
        <w:rPr>
          <w:sz w:val="24"/>
          <w:szCs w:val="24"/>
        </w:rPr>
        <w:t xml:space="preserve"> </w:t>
      </w:r>
      <w:r w:rsidR="00BA5B56" w:rsidRPr="00A95AB6">
        <w:rPr>
          <w:sz w:val="24"/>
          <w:szCs w:val="24"/>
        </w:rPr>
        <w:t>ноября</w:t>
      </w:r>
      <w:r w:rsidRPr="00A95AB6">
        <w:rPr>
          <w:sz w:val="24"/>
          <w:szCs w:val="24"/>
        </w:rPr>
        <w:t xml:space="preserve"> 202</w:t>
      </w:r>
      <w:r w:rsidR="00BA5B56" w:rsidRPr="00A95AB6">
        <w:rPr>
          <w:sz w:val="24"/>
          <w:szCs w:val="24"/>
        </w:rPr>
        <w:t>4</w:t>
      </w:r>
      <w:r w:rsidRPr="00A95AB6">
        <w:rPr>
          <w:sz w:val="24"/>
          <w:szCs w:val="24"/>
        </w:rPr>
        <w:t xml:space="preserve"> года № </w:t>
      </w:r>
      <w:r w:rsidR="00BE73E3">
        <w:rPr>
          <w:sz w:val="24"/>
          <w:szCs w:val="24"/>
        </w:rPr>
        <w:t>123</w:t>
      </w:r>
      <w:r w:rsidRPr="00A95AB6">
        <w:rPr>
          <w:sz w:val="24"/>
          <w:szCs w:val="24"/>
        </w:rPr>
        <w:t>-п «</w:t>
      </w:r>
      <w:r w:rsidR="00BE73E3" w:rsidRPr="00BE73E3">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Волосовский муниципальный район Ленинградской области</w:t>
      </w:r>
      <w:r w:rsidR="00BA5B56" w:rsidRPr="00A95AB6">
        <w:rPr>
          <w:sz w:val="24"/>
          <w:szCs w:val="24"/>
        </w:rPr>
        <w:t>»</w:t>
      </w:r>
      <w:r w:rsidRPr="00A95AB6">
        <w:rPr>
          <w:sz w:val="24"/>
          <w:szCs w:val="24"/>
        </w:rPr>
        <w:t>.</w:t>
      </w:r>
    </w:p>
    <w:p w:rsidR="00B139BD" w:rsidRPr="00A95AB6" w:rsidRDefault="00B139BD" w:rsidP="00282748">
      <w:pPr>
        <w:pStyle w:val="ac"/>
        <w:numPr>
          <w:ilvl w:val="0"/>
          <w:numId w:val="2"/>
        </w:numPr>
        <w:tabs>
          <w:tab w:val="left" w:pos="1134"/>
        </w:tabs>
        <w:spacing w:after="0"/>
        <w:ind w:left="0" w:firstLine="720"/>
        <w:contextualSpacing/>
        <w:jc w:val="both"/>
        <w:rPr>
          <w:sz w:val="24"/>
          <w:szCs w:val="24"/>
        </w:rPr>
      </w:pPr>
      <w:r w:rsidRPr="00A95AB6">
        <w:rPr>
          <w:sz w:val="24"/>
          <w:szCs w:val="24"/>
        </w:rPr>
        <w:t xml:space="preserve">Тарифы, установленные в пункте </w:t>
      </w:r>
      <w:r w:rsidR="00426089" w:rsidRPr="00A95AB6">
        <w:rPr>
          <w:sz w:val="24"/>
          <w:szCs w:val="24"/>
        </w:rPr>
        <w:t>1 настоящего приказа, действуют</w:t>
      </w:r>
      <w:r w:rsidR="00F40B73" w:rsidRPr="00A95AB6">
        <w:rPr>
          <w:sz w:val="24"/>
          <w:szCs w:val="24"/>
        </w:rPr>
        <w:t xml:space="preserve"> </w:t>
      </w:r>
      <w:r w:rsidR="00A95AB6" w:rsidRPr="00A95AB6">
        <w:rPr>
          <w:sz w:val="24"/>
          <w:szCs w:val="24"/>
        </w:rPr>
        <w:t>с 1 января</w:t>
      </w:r>
      <w:r w:rsidR="008C6EB6" w:rsidRPr="00A95AB6">
        <w:rPr>
          <w:sz w:val="24"/>
          <w:szCs w:val="24"/>
        </w:rPr>
        <w:t xml:space="preserve"> 202</w:t>
      </w:r>
      <w:r w:rsidR="00BA5B56" w:rsidRPr="00A95AB6">
        <w:rPr>
          <w:sz w:val="24"/>
          <w:szCs w:val="24"/>
        </w:rPr>
        <w:t>6</w:t>
      </w:r>
      <w:r w:rsidRPr="00A95AB6">
        <w:rPr>
          <w:sz w:val="24"/>
          <w:szCs w:val="24"/>
        </w:rPr>
        <w:t xml:space="preserve"> года.</w:t>
      </w:r>
    </w:p>
    <w:p w:rsidR="00560E43" w:rsidRPr="00A95AB6" w:rsidRDefault="003C6098" w:rsidP="006F1DE2">
      <w:pPr>
        <w:pStyle w:val="ac"/>
        <w:numPr>
          <w:ilvl w:val="0"/>
          <w:numId w:val="2"/>
        </w:numPr>
        <w:tabs>
          <w:tab w:val="left" w:pos="1134"/>
        </w:tabs>
        <w:spacing w:after="0"/>
        <w:ind w:left="0" w:firstLine="720"/>
        <w:contextualSpacing/>
        <w:jc w:val="both"/>
        <w:rPr>
          <w:sz w:val="24"/>
          <w:szCs w:val="24"/>
        </w:rPr>
      </w:pPr>
      <w:r w:rsidRPr="00A95AB6">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0" w:name="Par121"/>
      <w:bookmarkEnd w:id="0"/>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1" w:name="Par142"/>
      <w:bookmarkEnd w:id="1"/>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9464C0">
        <w:rPr>
          <w:rFonts w:ascii="Times New Roman" w:hAnsi="Times New Roman" w:cs="Times New Roman"/>
          <w:sz w:val="24"/>
          <w:szCs w:val="24"/>
        </w:rPr>
        <w:t xml:space="preserve">                              </w:t>
      </w:r>
      <w:r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   </w:t>
      </w:r>
      <w:r w:rsidR="009464C0">
        <w:rPr>
          <w:rFonts w:ascii="Times New Roman" w:hAnsi="Times New Roman" w:cs="Times New Roman"/>
          <w:sz w:val="24"/>
          <w:szCs w:val="24"/>
        </w:rPr>
        <w:t>Р.А. Абейдуллин</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257858" w:rsidTr="005D719B">
        <w:tc>
          <w:tcPr>
            <w:tcW w:w="6487" w:type="dxa"/>
          </w:tcPr>
          <w:p w:rsidR="00F21FE6" w:rsidRPr="00F21FE6" w:rsidRDefault="0006004B" w:rsidP="005D719B">
            <w:pPr>
              <w:rPr>
                <w:rFonts w:ascii="Times New Roman" w:hAnsi="Times New Roman" w:cs="Times New Roman"/>
                <w:sz w:val="24"/>
              </w:rPr>
            </w:pPr>
            <w:r w:rsidRPr="00F21FE6">
              <w:rPr>
                <w:rFonts w:ascii="Times New Roman" w:hAnsi="Times New Roman" w:cs="Times New Roman"/>
                <w:sz w:val="24"/>
              </w:rPr>
              <w:t xml:space="preserve">                            </w:t>
            </w: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F21FE6" w:rsidRPr="00F21FE6" w:rsidRDefault="00F21FE6" w:rsidP="005D719B">
            <w:pPr>
              <w:rPr>
                <w:rFonts w:ascii="Times New Roman" w:hAnsi="Times New Roman" w:cs="Times New Roman"/>
                <w:sz w:val="24"/>
              </w:rPr>
            </w:pPr>
          </w:p>
          <w:p w:rsidR="0006004B" w:rsidRPr="00F21FE6" w:rsidRDefault="00F21FE6" w:rsidP="005D719B">
            <w:pPr>
              <w:rPr>
                <w:rFonts w:ascii="Times New Roman" w:hAnsi="Times New Roman" w:cs="Times New Roman"/>
                <w:sz w:val="24"/>
              </w:rPr>
            </w:pPr>
            <w:r>
              <w:rPr>
                <w:rFonts w:ascii="Times New Roman" w:hAnsi="Times New Roman" w:cs="Times New Roman"/>
                <w:sz w:val="24"/>
              </w:rPr>
              <w:t xml:space="preserve">                            </w:t>
            </w:r>
            <w:r w:rsidR="0006004B" w:rsidRPr="00F21FE6">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F21FE6" w:rsidRDefault="00F21FE6" w:rsidP="005D719B">
            <w:pPr>
              <w:rPr>
                <w:rFonts w:ascii="Times New Roman" w:hAnsi="Times New Roman" w:cs="Times New Roman"/>
                <w:sz w:val="24"/>
              </w:rPr>
            </w:pPr>
            <w:r>
              <w:rPr>
                <w:rFonts w:ascii="Times New Roman" w:hAnsi="Times New Roman" w:cs="Times New Roman"/>
                <w:sz w:val="24"/>
              </w:rPr>
              <w:t xml:space="preserve">                             </w:t>
            </w:r>
            <w:bookmarkStart w:id="2" w:name="_GoBack"/>
            <w:bookmarkEnd w:id="2"/>
            <w:r w:rsidR="0006004B" w:rsidRPr="00F21FE6">
              <w:rPr>
                <w:rFonts w:ascii="Times New Roman" w:hAnsi="Times New Roman" w:cs="Times New Roman"/>
                <w:sz w:val="24"/>
              </w:rPr>
              <w:t>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Default="00A60C71" w:rsidP="00765E4E">
      <w:pPr>
        <w:spacing w:after="0" w:line="240" w:lineRule="auto"/>
        <w:ind w:firstLine="720"/>
        <w:jc w:val="center"/>
        <w:rPr>
          <w:rFonts w:ascii="Times New Roman" w:eastAsia="Times New Roman" w:hAnsi="Times New Roman" w:cs="Times New Roman"/>
          <w:sz w:val="24"/>
          <w:szCs w:val="24"/>
          <w:lang w:eastAsia="ru-RU"/>
        </w:rPr>
      </w:pPr>
    </w:p>
    <w:p w:rsidR="00A60C71" w:rsidRPr="008C6EB6" w:rsidRDefault="00A60C71"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BE73E3">
        <w:rPr>
          <w:rFonts w:ascii="Times New Roman" w:eastAsia="Times New Roman" w:hAnsi="Times New Roman" w:cs="Times New Roman"/>
          <w:b/>
          <w:sz w:val="24"/>
          <w:szCs w:val="24"/>
          <w:lang w:eastAsia="ru-RU"/>
        </w:rPr>
        <w:t>Волосовский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5174"/>
        <w:gridCol w:w="1922"/>
        <w:gridCol w:w="2623"/>
      </w:tblGrid>
      <w:tr w:rsidR="00F21FE6" w:rsidRPr="00942B49" w:rsidTr="00F21FE6">
        <w:trPr>
          <w:trHeight w:val="679"/>
          <w:jc w:val="center"/>
        </w:trPr>
        <w:tc>
          <w:tcPr>
            <w:tcW w:w="306" w:type="pct"/>
            <w:tcBorders>
              <w:top w:val="single" w:sz="4" w:space="0" w:color="auto"/>
              <w:left w:val="single" w:sz="4" w:space="0" w:color="auto"/>
              <w:right w:val="single" w:sz="4" w:space="0" w:color="auto"/>
            </w:tcBorders>
            <w:vAlign w:val="center"/>
            <w:hideMark/>
          </w:tcPr>
          <w:p w:rsidR="00F21FE6" w:rsidRPr="00F21FE6" w:rsidRDefault="00F21FE6" w:rsidP="00F21FE6">
            <w:pPr>
              <w:tabs>
                <w:tab w:val="left" w:pos="993"/>
              </w:tabs>
              <w:jc w:val="center"/>
              <w:rPr>
                <w:rFonts w:ascii="Times New Roman" w:hAnsi="Times New Roman" w:cs="Times New Roman"/>
                <w:bCs/>
              </w:rPr>
            </w:pPr>
            <w:r w:rsidRPr="00F21FE6">
              <w:rPr>
                <w:rFonts w:ascii="Times New Roman" w:hAnsi="Times New Roman" w:cs="Times New Roman"/>
                <w:bCs/>
              </w:rPr>
              <w:t>№ п/п</w:t>
            </w:r>
          </w:p>
        </w:tc>
        <w:tc>
          <w:tcPr>
            <w:tcW w:w="2499" w:type="pct"/>
            <w:tcBorders>
              <w:top w:val="single" w:sz="4" w:space="0" w:color="auto"/>
              <w:left w:val="single" w:sz="4" w:space="0" w:color="auto"/>
              <w:bottom w:val="single" w:sz="4" w:space="0" w:color="auto"/>
              <w:right w:val="single" w:sz="4" w:space="0" w:color="auto"/>
            </w:tcBorders>
            <w:vAlign w:val="center"/>
            <w:hideMark/>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rPr>
              <w:t>Наименование услуги</w:t>
            </w:r>
          </w:p>
        </w:tc>
        <w:tc>
          <w:tcPr>
            <w:tcW w:w="928" w:type="pct"/>
            <w:tcBorders>
              <w:top w:val="single" w:sz="4" w:space="0" w:color="auto"/>
              <w:left w:val="single" w:sz="4" w:space="0" w:color="auto"/>
              <w:right w:val="single" w:sz="4" w:space="0" w:color="auto"/>
            </w:tcBorders>
            <w:vAlign w:val="center"/>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rPr>
              <w:t>Единица измерения</w:t>
            </w:r>
          </w:p>
        </w:tc>
        <w:tc>
          <w:tcPr>
            <w:tcW w:w="1267" w:type="pct"/>
            <w:tcBorders>
              <w:top w:val="single" w:sz="4" w:space="0" w:color="auto"/>
              <w:left w:val="single" w:sz="4" w:space="0" w:color="auto"/>
              <w:right w:val="single" w:sz="4" w:space="0" w:color="auto"/>
            </w:tcBorders>
            <w:vAlign w:val="center"/>
            <w:hideMark/>
          </w:tcPr>
          <w:p w:rsidR="00F21FE6" w:rsidRPr="00F21FE6" w:rsidRDefault="00F21FE6" w:rsidP="00B56290">
            <w:pPr>
              <w:tabs>
                <w:tab w:val="left" w:pos="993"/>
              </w:tabs>
              <w:ind w:hanging="2"/>
              <w:jc w:val="center"/>
              <w:rPr>
                <w:rFonts w:ascii="Times New Roman" w:hAnsi="Times New Roman" w:cs="Times New Roman"/>
              </w:rPr>
            </w:pPr>
            <w:r w:rsidRPr="00F21FE6">
              <w:rPr>
                <w:rFonts w:ascii="Times New Roman" w:hAnsi="Times New Roman" w:cs="Times New Roman"/>
                <w:bCs/>
              </w:rPr>
              <w:t>Предельный максимальный тариф</w:t>
            </w:r>
          </w:p>
        </w:tc>
      </w:tr>
      <w:tr w:rsidR="00F21FE6" w:rsidRPr="00942B49" w:rsidTr="00F21FE6">
        <w:trPr>
          <w:trHeight w:val="273"/>
          <w:jc w:val="center"/>
        </w:trPr>
        <w:tc>
          <w:tcPr>
            <w:tcW w:w="306" w:type="pct"/>
            <w:tcBorders>
              <w:left w:val="single" w:sz="4" w:space="0" w:color="auto"/>
              <w:right w:val="single" w:sz="4" w:space="0" w:color="auto"/>
            </w:tcBorders>
            <w:vAlign w:val="center"/>
          </w:tcPr>
          <w:p w:rsidR="00F21FE6" w:rsidRPr="00F21FE6" w:rsidRDefault="00F21FE6" w:rsidP="00B56290">
            <w:pPr>
              <w:tabs>
                <w:tab w:val="left" w:pos="0"/>
                <w:tab w:val="left" w:pos="74"/>
              </w:tabs>
              <w:ind w:right="-293" w:hanging="2"/>
              <w:jc w:val="center"/>
              <w:rPr>
                <w:rFonts w:ascii="Times New Roman" w:hAnsi="Times New Roman" w:cs="Times New Roman"/>
                <w:bCs/>
              </w:rPr>
            </w:pPr>
            <w:r w:rsidRPr="00F21FE6">
              <w:rPr>
                <w:rFonts w:ascii="Times New Roman" w:hAnsi="Times New Roman" w:cs="Times New Roman"/>
                <w:bCs/>
              </w:rPr>
              <w:t>1</w:t>
            </w:r>
          </w:p>
        </w:tc>
        <w:tc>
          <w:tcPr>
            <w:tcW w:w="2499" w:type="pct"/>
            <w:tcBorders>
              <w:left w:val="single" w:sz="4" w:space="0" w:color="auto"/>
              <w:right w:val="single" w:sz="4" w:space="0" w:color="auto"/>
            </w:tcBorders>
            <w:vAlign w:val="center"/>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rPr>
              <w:t>2</w:t>
            </w:r>
          </w:p>
        </w:tc>
        <w:tc>
          <w:tcPr>
            <w:tcW w:w="928" w:type="pct"/>
            <w:tcBorders>
              <w:left w:val="single" w:sz="4" w:space="0" w:color="auto"/>
              <w:right w:val="single" w:sz="4" w:space="0" w:color="auto"/>
            </w:tcBorders>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rPr>
              <w:t>3</w:t>
            </w:r>
          </w:p>
        </w:tc>
        <w:tc>
          <w:tcPr>
            <w:tcW w:w="1267" w:type="pct"/>
            <w:tcBorders>
              <w:left w:val="single" w:sz="4" w:space="0" w:color="auto"/>
              <w:right w:val="single" w:sz="4" w:space="0" w:color="auto"/>
            </w:tcBorders>
            <w:vAlign w:val="center"/>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rPr>
              <w:t>4</w:t>
            </w:r>
          </w:p>
        </w:tc>
      </w:tr>
      <w:tr w:rsidR="00F21FE6" w:rsidRPr="00942B49" w:rsidTr="00F21FE6">
        <w:trPr>
          <w:trHeight w:val="721"/>
          <w:jc w:val="center"/>
        </w:trPr>
        <w:tc>
          <w:tcPr>
            <w:tcW w:w="306"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245"/>
                <w:tab w:val="left" w:pos="74"/>
              </w:tabs>
              <w:ind w:right="-293" w:hanging="2"/>
              <w:jc w:val="center"/>
              <w:rPr>
                <w:rFonts w:ascii="Times New Roman" w:hAnsi="Times New Roman" w:cs="Times New Roman"/>
                <w:bCs/>
              </w:rPr>
            </w:pPr>
            <w:r w:rsidRPr="00F21FE6">
              <w:rPr>
                <w:rFonts w:ascii="Times New Roman" w:hAnsi="Times New Roman" w:cs="Times New Roman"/>
                <w:bCs/>
              </w:rPr>
              <w:t>1</w:t>
            </w:r>
          </w:p>
        </w:tc>
        <w:tc>
          <w:tcPr>
            <w:tcW w:w="2499"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0"/>
              </w:tabs>
              <w:spacing w:line="254" w:lineRule="auto"/>
              <w:ind w:hanging="2"/>
              <w:jc w:val="center"/>
              <w:rPr>
                <w:rFonts w:ascii="Times New Roman" w:hAnsi="Times New Roman" w:cs="Times New Roman"/>
                <w:bCs/>
              </w:rPr>
            </w:pPr>
            <w:r w:rsidRPr="00F21FE6">
              <w:rPr>
                <w:rFonts w:ascii="Times New Roman" w:hAnsi="Times New Roman" w:cs="Times New Roman"/>
                <w:bCs/>
              </w:rPr>
              <w:t>Перевозка пассажиров по маршрутам в границах муниципального образования Волосовский муниципальный район Ленинградской области</w:t>
            </w:r>
          </w:p>
        </w:tc>
        <w:tc>
          <w:tcPr>
            <w:tcW w:w="928"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F21FE6">
            <w:pPr>
              <w:tabs>
                <w:tab w:val="left" w:pos="0"/>
              </w:tabs>
              <w:spacing w:line="254" w:lineRule="auto"/>
              <w:ind w:hanging="2"/>
              <w:jc w:val="center"/>
              <w:rPr>
                <w:rFonts w:ascii="Times New Roman" w:hAnsi="Times New Roman" w:cs="Times New Roman"/>
                <w:bCs/>
              </w:rPr>
            </w:pPr>
            <w:r w:rsidRPr="00F21FE6">
              <w:rPr>
                <w:rFonts w:ascii="Times New Roman" w:hAnsi="Times New Roman" w:cs="Times New Roman"/>
                <w:bCs/>
              </w:rPr>
              <w:t>руб.</w:t>
            </w:r>
            <w:r>
              <w:rPr>
                <w:rFonts w:ascii="Times New Roman" w:hAnsi="Times New Roman" w:cs="Times New Roman"/>
                <w:bCs/>
              </w:rPr>
              <w:t xml:space="preserve"> </w:t>
            </w:r>
            <w:r w:rsidRPr="00F21FE6">
              <w:rPr>
                <w:rFonts w:ascii="Times New Roman" w:hAnsi="Times New Roman" w:cs="Times New Roman"/>
                <w:bCs/>
              </w:rPr>
              <w:t>за один километр</w:t>
            </w:r>
          </w:p>
        </w:tc>
        <w:tc>
          <w:tcPr>
            <w:tcW w:w="1267"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szCs w:val="24"/>
              </w:rPr>
              <w:t>5,20</w:t>
            </w:r>
          </w:p>
        </w:tc>
      </w:tr>
      <w:tr w:rsidR="00F21FE6" w:rsidRPr="00942B49" w:rsidTr="00F21FE6">
        <w:trPr>
          <w:trHeight w:val="525"/>
          <w:jc w:val="center"/>
        </w:trPr>
        <w:tc>
          <w:tcPr>
            <w:tcW w:w="306" w:type="pct"/>
            <w:tcBorders>
              <w:left w:val="single" w:sz="4" w:space="0" w:color="auto"/>
              <w:right w:val="single" w:sz="4" w:space="0" w:color="auto"/>
            </w:tcBorders>
            <w:vAlign w:val="center"/>
          </w:tcPr>
          <w:p w:rsidR="00F21FE6" w:rsidRPr="00F21FE6" w:rsidRDefault="00F21FE6" w:rsidP="00B56290">
            <w:pPr>
              <w:tabs>
                <w:tab w:val="left" w:pos="-245"/>
              </w:tabs>
              <w:ind w:right="-293" w:hanging="2"/>
              <w:jc w:val="center"/>
              <w:rPr>
                <w:rFonts w:ascii="Times New Roman" w:hAnsi="Times New Roman" w:cs="Times New Roman"/>
                <w:bCs/>
              </w:rPr>
            </w:pPr>
            <w:r w:rsidRPr="00F21FE6">
              <w:rPr>
                <w:rFonts w:ascii="Times New Roman" w:hAnsi="Times New Roman" w:cs="Times New Roman"/>
                <w:bCs/>
              </w:rPr>
              <w:t>2</w:t>
            </w:r>
          </w:p>
        </w:tc>
        <w:tc>
          <w:tcPr>
            <w:tcW w:w="2499"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993"/>
              </w:tabs>
              <w:spacing w:line="254" w:lineRule="auto"/>
              <w:ind w:hanging="2"/>
              <w:jc w:val="center"/>
              <w:rPr>
                <w:rFonts w:ascii="Times New Roman" w:hAnsi="Times New Roman" w:cs="Times New Roman"/>
                <w:bCs/>
              </w:rPr>
            </w:pPr>
            <w:r w:rsidRPr="00F21FE6">
              <w:rPr>
                <w:rFonts w:ascii="Times New Roman" w:hAnsi="Times New Roman" w:cs="Times New Roman"/>
                <w:bCs/>
              </w:rPr>
              <w:t>Перевозка одного места багажа</w:t>
            </w:r>
          </w:p>
        </w:tc>
        <w:tc>
          <w:tcPr>
            <w:tcW w:w="928"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32"/>
              </w:tabs>
              <w:spacing w:line="254" w:lineRule="auto"/>
              <w:ind w:hanging="2"/>
              <w:jc w:val="center"/>
              <w:rPr>
                <w:rFonts w:ascii="Times New Roman" w:hAnsi="Times New Roman" w:cs="Times New Roman"/>
                <w:bCs/>
              </w:rPr>
            </w:pPr>
            <w:r w:rsidRPr="00F21FE6">
              <w:rPr>
                <w:rFonts w:ascii="Times New Roman" w:hAnsi="Times New Roman" w:cs="Times New Roman"/>
                <w:bCs/>
              </w:rPr>
              <w:t>руб.за поездку</w:t>
            </w:r>
            <w:r>
              <w:rPr>
                <w:rFonts w:ascii="Times New Roman" w:hAnsi="Times New Roman" w:cs="Times New Roman"/>
                <w:bCs/>
              </w:rPr>
              <w:t xml:space="preserve"> (вне зависимости от дальности поездки)</w:t>
            </w:r>
          </w:p>
        </w:tc>
        <w:tc>
          <w:tcPr>
            <w:tcW w:w="1267" w:type="pct"/>
            <w:tcBorders>
              <w:top w:val="single" w:sz="4" w:space="0" w:color="auto"/>
              <w:left w:val="single" w:sz="4" w:space="0" w:color="auto"/>
              <w:bottom w:val="single" w:sz="4" w:space="0" w:color="auto"/>
              <w:right w:val="single" w:sz="4" w:space="0" w:color="auto"/>
            </w:tcBorders>
            <w:vAlign w:val="center"/>
          </w:tcPr>
          <w:p w:rsidR="00F21FE6" w:rsidRPr="00F21FE6" w:rsidRDefault="00F21FE6" w:rsidP="00B56290">
            <w:pPr>
              <w:tabs>
                <w:tab w:val="left" w:pos="993"/>
              </w:tabs>
              <w:ind w:hanging="2"/>
              <w:jc w:val="center"/>
              <w:rPr>
                <w:rFonts w:ascii="Times New Roman" w:hAnsi="Times New Roman" w:cs="Times New Roman"/>
                <w:bCs/>
              </w:rPr>
            </w:pPr>
            <w:r w:rsidRPr="00F21FE6">
              <w:rPr>
                <w:rFonts w:ascii="Times New Roman" w:hAnsi="Times New Roman" w:cs="Times New Roman"/>
                <w:bCs/>
                <w:szCs w:val="24"/>
              </w:rPr>
              <w:t>29,00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F21FE6">
      <w:pPr>
        <w:tabs>
          <w:tab w:val="left" w:pos="993"/>
        </w:tabs>
        <w:spacing w:after="0" w:line="254" w:lineRule="auto"/>
        <w:ind w:firstLine="709"/>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1. Стоимость проезда по маршрутам в границах Волосовского муниципального района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приложения к приказу.</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 xml:space="preserve">Количество тарифных участков на маршрутах определяется путем деления длины маршрута на среднюю длину одного участка, которая составляет 3,33 километра. </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 xml:space="preserve">2.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 </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 xml:space="preserve">3.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29,00 руб. за поездку. </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4. Стоимость перевозки багажа определяется по тарифу, установленному пунктом 2 таблицы, приведенной в приложении к приказу.</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F21FE6" w:rsidRPr="00F21FE6" w:rsidRDefault="00F21FE6" w:rsidP="00F21FE6">
      <w:pPr>
        <w:spacing w:after="0"/>
        <w:ind w:firstLine="709"/>
        <w:jc w:val="both"/>
        <w:rPr>
          <w:rFonts w:ascii="Times New Roman" w:eastAsia="Times New Roman" w:hAnsi="Times New Roman" w:cs="Times New Roman"/>
          <w:sz w:val="24"/>
          <w:szCs w:val="24"/>
          <w:lang w:eastAsia="ru-RU"/>
        </w:rPr>
      </w:pPr>
      <w:r w:rsidRPr="00F21FE6">
        <w:rPr>
          <w:rFonts w:ascii="Times New Roman" w:eastAsia="Times New Roman" w:hAnsi="Times New Roman" w:cs="Times New Roman"/>
          <w:sz w:val="24"/>
          <w:szCs w:val="24"/>
          <w:lang w:eastAsia="ru-RU"/>
        </w:rPr>
        <w:t>5.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F21FE6" w:rsidP="00F21FE6">
      <w:pPr>
        <w:spacing w:after="0"/>
        <w:ind w:firstLine="709"/>
        <w:jc w:val="both"/>
        <w:rPr>
          <w:rFonts w:ascii="Times New Roman" w:eastAsia="Times New Roman" w:hAnsi="Times New Roman" w:cs="Times New Roman"/>
          <w:noProof/>
          <w:sz w:val="24"/>
          <w:szCs w:val="24"/>
          <w:lang w:eastAsia="ru-RU"/>
        </w:rPr>
      </w:pPr>
      <w:r w:rsidRPr="00F21FE6">
        <w:rPr>
          <w:rFonts w:ascii="Times New Roman" w:eastAsia="Times New Roman" w:hAnsi="Times New Roman" w:cs="Times New Roman"/>
          <w:sz w:val="24"/>
          <w:szCs w:val="24"/>
          <w:lang w:eastAsia="ru-RU"/>
        </w:rPr>
        <w:t>6. 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с даты принятия решения об изменении стоимости проезда.</w:t>
      </w: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A1A" w:rsidRDefault="009E5A1A" w:rsidP="001C3295">
      <w:pPr>
        <w:spacing w:after="0" w:line="240" w:lineRule="auto"/>
      </w:pPr>
      <w:r>
        <w:separator/>
      </w:r>
    </w:p>
  </w:endnote>
  <w:endnote w:type="continuationSeparator" w:id="0">
    <w:p w:rsidR="009E5A1A" w:rsidRDefault="009E5A1A"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A1A" w:rsidRDefault="009E5A1A" w:rsidP="001C3295">
      <w:pPr>
        <w:spacing w:after="0" w:line="240" w:lineRule="auto"/>
      </w:pPr>
      <w:r>
        <w:separator/>
      </w:r>
    </w:p>
  </w:footnote>
  <w:footnote w:type="continuationSeparator" w:id="0">
    <w:p w:rsidR="009E5A1A" w:rsidRDefault="009E5A1A"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B"/>
    <w:rsid w:val="00000D10"/>
    <w:rsid w:val="000021C1"/>
    <w:rsid w:val="000054EC"/>
    <w:rsid w:val="00032B7C"/>
    <w:rsid w:val="00040B3F"/>
    <w:rsid w:val="000434F5"/>
    <w:rsid w:val="00052BDE"/>
    <w:rsid w:val="00055736"/>
    <w:rsid w:val="0006004B"/>
    <w:rsid w:val="000661D2"/>
    <w:rsid w:val="0006784D"/>
    <w:rsid w:val="000732B1"/>
    <w:rsid w:val="00074F5D"/>
    <w:rsid w:val="000776A3"/>
    <w:rsid w:val="00084A64"/>
    <w:rsid w:val="00094945"/>
    <w:rsid w:val="000967F7"/>
    <w:rsid w:val="000A22B6"/>
    <w:rsid w:val="000C20E4"/>
    <w:rsid w:val="000C38F5"/>
    <w:rsid w:val="000D40FD"/>
    <w:rsid w:val="000D62D8"/>
    <w:rsid w:val="000E47E2"/>
    <w:rsid w:val="000F386B"/>
    <w:rsid w:val="0010187C"/>
    <w:rsid w:val="001158F0"/>
    <w:rsid w:val="00123A6B"/>
    <w:rsid w:val="001259C9"/>
    <w:rsid w:val="00132D93"/>
    <w:rsid w:val="00142983"/>
    <w:rsid w:val="00147979"/>
    <w:rsid w:val="001539B5"/>
    <w:rsid w:val="00154E04"/>
    <w:rsid w:val="001707C2"/>
    <w:rsid w:val="00170EC1"/>
    <w:rsid w:val="00184CD2"/>
    <w:rsid w:val="00184ED1"/>
    <w:rsid w:val="001868B4"/>
    <w:rsid w:val="001A05BC"/>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57858"/>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64C0"/>
    <w:rsid w:val="00947C9A"/>
    <w:rsid w:val="009809B4"/>
    <w:rsid w:val="00983DA7"/>
    <w:rsid w:val="00992526"/>
    <w:rsid w:val="009D265B"/>
    <w:rsid w:val="009D7B16"/>
    <w:rsid w:val="009E5A1A"/>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60C71"/>
    <w:rsid w:val="00A74430"/>
    <w:rsid w:val="00A84C31"/>
    <w:rsid w:val="00A91E8C"/>
    <w:rsid w:val="00A95AB6"/>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BE73E3"/>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1F55"/>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1FE6"/>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359B1-6C06-4139-9570-443AA5CA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9016-9BB0-449C-A348-2DA9758C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11</cp:revision>
  <cp:lastPrinted>2025-12-02T12:30:00Z</cp:lastPrinted>
  <dcterms:created xsi:type="dcterms:W3CDTF">2025-11-13T06:24:00Z</dcterms:created>
  <dcterms:modified xsi:type="dcterms:W3CDTF">2025-12-06T08:53:00Z</dcterms:modified>
</cp:coreProperties>
</file>