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46" w:rsidRPr="001C3295" w:rsidRDefault="00281946" w:rsidP="00281946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281946" w:rsidRPr="001C3295" w:rsidRDefault="00281946" w:rsidP="00281946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81946" w:rsidRDefault="00281946" w:rsidP="0028194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946" w:rsidRPr="00CB42CB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45B4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281946" w:rsidRPr="007B50C7" w:rsidRDefault="00281946" w:rsidP="0028194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281946" w:rsidP="002819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F4DB9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В</w:t>
      </w:r>
      <w:r w:rsidRPr="00EF4DB9">
        <w:rPr>
          <w:rFonts w:ascii="Times New Roman" w:hAnsi="Times New Roman" w:cs="Times New Roman"/>
          <w:sz w:val="24"/>
          <w:szCs w:val="24"/>
        </w:rPr>
        <w:t>ыборгского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EF4D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EF4D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4DB9" w:rsidRPr="00EF4DB9" w:rsidRDefault="00EF4DB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81946" w:rsidRPr="00145B41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B4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145B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теплоснабжении», Федеральным </w:t>
      </w:r>
      <w:hyperlink r:id="rId7">
        <w:r w:rsidRPr="00145B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водоотведении», </w:t>
      </w:r>
      <w:hyperlink r:id="rId8">
        <w:r w:rsidRPr="00145B4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9">
        <w:r w:rsidRPr="00145B4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</w:t>
      </w:r>
      <w:r w:rsidRPr="00A4551B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0">
        <w:r w:rsidRPr="00A4551B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A45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51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A4551B" w:rsidRPr="00A4551B">
        <w:rPr>
          <w:rFonts w:ascii="Times New Roman" w:hAnsi="Times New Roman"/>
          <w:sz w:val="24"/>
          <w:szCs w:val="24"/>
        </w:rPr>
        <w:t xml:space="preserve">25 ноября 2025 года </w:t>
      </w:r>
      <w:r w:rsidR="00A4551B" w:rsidRPr="00A4551B">
        <w:rPr>
          <w:rFonts w:ascii="Times New Roman" w:hAnsi="Times New Roman"/>
          <w:sz w:val="24"/>
          <w:szCs w:val="24"/>
        </w:rPr>
        <w:t>№ 3413-р</w:t>
      </w:r>
      <w:r w:rsidRPr="00A455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A4551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4551B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2">
        <w:r w:rsidRPr="00A4551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4551B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A4551B" w:rsidRPr="00A455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51B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сфере теплоснабжения, водоснабжения </w:t>
      </w:r>
      <w:r w:rsidRPr="00145B41">
        <w:rPr>
          <w:rFonts w:ascii="Times New Roman" w:hAnsi="Times New Roman" w:cs="Times New Roman"/>
          <w:sz w:val="24"/>
          <w:szCs w:val="24"/>
        </w:rPr>
        <w:t xml:space="preserve">и водоотведения на территории Ленинградской области», </w:t>
      </w:r>
      <w:hyperlink r:id="rId13">
        <w:r w:rsidRPr="00145B4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145B41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 w:rsidR="00281946" w:rsidRPr="00145B41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A4551B">
        <w:rPr>
          <w:rFonts w:ascii="Times New Roman" w:hAnsi="Times New Roman" w:cs="Times New Roman"/>
          <w:sz w:val="24"/>
          <w:szCs w:val="24"/>
        </w:rPr>
        <w:t>19</w:t>
      </w:r>
      <w:r w:rsidR="00281946" w:rsidRPr="00145B41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145B41">
        <w:rPr>
          <w:rFonts w:ascii="Times New Roman" w:hAnsi="Times New Roman" w:cs="Times New Roman"/>
          <w:sz w:val="24"/>
          <w:szCs w:val="24"/>
        </w:rPr>
        <w:t xml:space="preserve"> года № </w:t>
      </w:r>
    </w:p>
    <w:p w:rsidR="00281946" w:rsidRPr="00145B41" w:rsidRDefault="00281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145B41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B41">
        <w:rPr>
          <w:rFonts w:ascii="Times New Roman" w:hAnsi="Times New Roman" w:cs="Times New Roman"/>
          <w:sz w:val="24"/>
          <w:szCs w:val="24"/>
        </w:rPr>
        <w:t>приказываю:</w:t>
      </w:r>
    </w:p>
    <w:p w:rsidR="00EF4DB9" w:rsidRPr="00145B41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145B41" w:rsidRDefault="00EF4DB9" w:rsidP="00281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B41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40">
        <w:r w:rsidRPr="00145B41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Выборгского муниципального района Ленинградской области на 2026 год согласно приложению 1 к настоящему приказу.</w:t>
      </w:r>
    </w:p>
    <w:p w:rsidR="00EF4DB9" w:rsidRPr="00145B41" w:rsidRDefault="00EF4DB9" w:rsidP="00281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B41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74">
        <w:r w:rsidRPr="00145B41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145B41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Выборгского муниципального района Ленинградской области на 2026 год согласно приложению 2 к настоящему приказу.</w:t>
      </w:r>
    </w:p>
    <w:p w:rsidR="00EF4DB9" w:rsidRPr="00145B41" w:rsidRDefault="00EF4DB9" w:rsidP="00281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B41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854" w:rsidRPr="00145B41" w:rsidRDefault="00194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145B41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B41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B41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</w:t>
      </w:r>
      <w:r w:rsidR="00A4551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145B41">
        <w:rPr>
          <w:rFonts w:ascii="Times New Roman" w:eastAsia="Calibri" w:hAnsi="Times New Roman" w:cs="Times New Roman"/>
          <w:sz w:val="24"/>
          <w:szCs w:val="24"/>
        </w:rPr>
        <w:t xml:space="preserve">       С.Н. Степанова</w:t>
      </w:r>
    </w:p>
    <w:p w:rsidR="00281946" w:rsidRPr="00925407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A002CE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81946" w:rsidRDefault="00281946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D7F07" w:rsidRDefault="002D7F07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D7F07" w:rsidRPr="003B6A1F" w:rsidRDefault="002D7F07" w:rsidP="00281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F4DB9" w:rsidRDefault="00EF4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1946" w:rsidRPr="00EF4DB9" w:rsidRDefault="002819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66D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EF4DB9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EF4DB9" w:rsidRPr="00EF4DB9" w:rsidRDefault="00E66D68" w:rsidP="00E66D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>услуг населению, на территории В</w:t>
      </w:r>
      <w:r w:rsidRPr="00EF4DB9">
        <w:rPr>
          <w:rFonts w:ascii="Times New Roman" w:hAnsi="Times New Roman" w:cs="Times New Roman"/>
          <w:sz w:val="24"/>
          <w:szCs w:val="24"/>
        </w:rPr>
        <w:t>ыборгского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EF4D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EF4D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4DB9" w:rsidRPr="00EF4DB9" w:rsidRDefault="00EF4DB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3458"/>
        <w:gridCol w:w="3345"/>
        <w:gridCol w:w="1417"/>
      </w:tblGrid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8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417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  <w:gridSpan w:val="3"/>
          </w:tcPr>
          <w:p w:rsidR="00EF4DB9" w:rsidRPr="00EF4DB9" w:rsidRDefault="00EF4DB9" w:rsidP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Выборгтеплоэнерго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 w:rsidP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Выборгское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Высоцкое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Селезневское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gridSpan w:val="3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водоснабжения государст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</w:t>
            </w:r>
            <w:proofErr w:type="spellStart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Леноблводоканал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нию, муниципальных образований «Приморское городское поселение»,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Рощинское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и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енногорское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«Советское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ию, муниципального 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боргское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ветогорское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области, в зоне действия единой теплоснабжающей организац</w:t>
            </w: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ии АО</w:t>
            </w:r>
            <w:proofErr w:type="gram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Выборгтеплоэнерго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: г. Светогорск, а также потребителей, получающих тепловую энергию от газовой котельной в д.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дизельных котельных в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. Лесогорский, расположенных по адресу: ул. Советов, 7, и ул. </w:t>
            </w: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14б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1.2.4.1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1.2.4.2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gridSpan w:val="3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ткрытого акционерного общества «Российские железные дороги»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(Центральная дирекция по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, Октябрьская дирекция по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Санкт-Петербург)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«Выборгское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0" w:type="dxa"/>
            <w:gridSpan w:val="3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Санкт-Петербургского государственного бюджетн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ого учреждения здравоохранения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одской туберкулезный санаторий «Сосновый бор»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A4551B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="00A4551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0" w:type="dxa"/>
            <w:gridSpan w:val="3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федерального государственного к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азенного 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Пограничное управление Федеральной службы безопасности Российской Федерации по городу Санкт-Пет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ербургу и Ленинградской области»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ению муниципальных образований «Выборгское городское поселение»,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ветогорское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поселение»,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>енногорское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поселение», «</w:t>
            </w:r>
            <w:proofErr w:type="spellStart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Селезневское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85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45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85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F4DB9" w:rsidRPr="00EF4DB9" w:rsidRDefault="00395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854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0" w:type="dxa"/>
            <w:gridSpan w:val="3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395540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="00395540">
              <w:rPr>
                <w:rFonts w:ascii="Times New Roman" w:hAnsi="Times New Roman" w:cs="Times New Roman"/>
                <w:sz w:val="24"/>
                <w:szCs w:val="24"/>
              </w:rPr>
              <w:t xml:space="preserve"> Импульс»</w:t>
            </w:r>
          </w:p>
        </w:tc>
      </w:tr>
      <w:tr w:rsidR="00A4551B" w:rsidRPr="00A4551B">
        <w:tc>
          <w:tcPr>
            <w:tcW w:w="854" w:type="dxa"/>
          </w:tcPr>
          <w:p w:rsidR="00EF4DB9" w:rsidRPr="00A4551B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20" w:type="dxa"/>
            <w:gridSpan w:val="3"/>
          </w:tcPr>
          <w:p w:rsidR="00EF4DB9" w:rsidRPr="00A4551B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Выборгское городское поселение Выборгского муниципального района Ленинградской области (тарифы указываются с учетом НДС) &lt;*&gt;</w:t>
            </w:r>
          </w:p>
        </w:tc>
      </w:tr>
      <w:tr w:rsidR="00A4551B" w:rsidRPr="00A4551B" w:rsidTr="00A4551B">
        <w:trPr>
          <w:trHeight w:val="345"/>
        </w:trPr>
        <w:tc>
          <w:tcPr>
            <w:tcW w:w="854" w:type="dxa"/>
            <w:vMerge w:val="restart"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458" w:type="dxa"/>
            <w:vMerge w:val="restart"/>
          </w:tcPr>
          <w:p w:rsidR="00A4551B" w:rsidRPr="00A4551B" w:rsidRDefault="00A4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417" w:type="dxa"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A4551B" w:rsidRPr="00A4551B">
        <w:trPr>
          <w:trHeight w:val="344"/>
        </w:trPr>
        <w:tc>
          <w:tcPr>
            <w:tcW w:w="854" w:type="dxa"/>
            <w:vMerge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A4551B" w:rsidRPr="00A4551B" w:rsidRDefault="00A455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417" w:type="dxa"/>
          </w:tcPr>
          <w:p w:rsidR="00A4551B" w:rsidRPr="00A4551B" w:rsidRDefault="00A45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4">
        <w:r w:rsidRPr="00EF4DB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>Примечания.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EF4DB9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A4551B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A4551B">
        <w:rPr>
          <w:rFonts w:ascii="Times New Roman" w:hAnsi="Times New Roman"/>
          <w:sz w:val="24"/>
          <w:szCs w:val="24"/>
        </w:rPr>
        <w:t xml:space="preserve">   </w:t>
      </w:r>
      <w:r w:rsidR="00A4551B" w:rsidRPr="00A5294A">
        <w:rPr>
          <w:rFonts w:ascii="Times New Roman" w:hAnsi="Times New Roman"/>
          <w:sz w:val="24"/>
          <w:szCs w:val="24"/>
        </w:rPr>
        <w:t>№ 3413-р</w:t>
      </w:r>
      <w:r w:rsidRPr="00EF4DB9">
        <w:rPr>
          <w:rFonts w:ascii="Times New Roman" w:hAnsi="Times New Roman" w:cs="Times New Roman"/>
          <w:sz w:val="24"/>
          <w:szCs w:val="24"/>
        </w:rPr>
        <w:t>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6">
        <w:r w:rsidRPr="00EF4D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95540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EF4DB9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395540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EF4DB9">
        <w:rPr>
          <w:rFonts w:ascii="Times New Roman" w:hAnsi="Times New Roman" w:cs="Times New Roman"/>
          <w:sz w:val="24"/>
          <w:szCs w:val="24"/>
        </w:rPr>
        <w:t>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EF4DB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EF4DB9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</w:t>
      </w:r>
      <w:r w:rsidRPr="00EF4DB9">
        <w:rPr>
          <w:rFonts w:ascii="Times New Roman" w:hAnsi="Times New Roman" w:cs="Times New Roman"/>
          <w:sz w:val="24"/>
          <w:szCs w:val="24"/>
        </w:rPr>
        <w:lastRenderedPageBreak/>
        <w:t>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395540">
        <w:rPr>
          <w:rFonts w:ascii="Times New Roman" w:hAnsi="Times New Roman" w:cs="Times New Roman"/>
          <w:sz w:val="24"/>
          <w:szCs w:val="24"/>
        </w:rPr>
        <w:t>–</w:t>
      </w:r>
      <w:r w:rsidRPr="00EF4DB9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395540">
        <w:rPr>
          <w:rFonts w:ascii="Times New Roman" w:hAnsi="Times New Roman" w:cs="Times New Roman"/>
          <w:sz w:val="24"/>
          <w:szCs w:val="24"/>
        </w:rPr>
        <w:t>–</w:t>
      </w:r>
      <w:r w:rsidRPr="00EF4DB9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395540">
        <w:rPr>
          <w:rFonts w:ascii="Times New Roman" w:hAnsi="Times New Roman" w:cs="Times New Roman"/>
          <w:sz w:val="24"/>
          <w:szCs w:val="24"/>
        </w:rPr>
        <w:t>–</w:t>
      </w:r>
      <w:r w:rsidRPr="00EF4DB9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EF4DB9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4DB9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EF4DB9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EF4DB9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EF4DB9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EF4DB9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EF4DB9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EF4DB9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EF4DB9" w:rsidRP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C22" w:rsidRPr="00C36F8C" w:rsidRDefault="00EC0C22" w:rsidP="00EC0C22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F4DB9" w:rsidRP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F07" w:rsidRDefault="002D7F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F07" w:rsidRDefault="002D7F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5540" w:rsidRDefault="003955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551B" w:rsidRPr="00EF4DB9" w:rsidRDefault="00A455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281946" w:rsidRPr="00B55CE1" w:rsidRDefault="00281946" w:rsidP="0028194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F4DB9" w:rsidRPr="00EF4DB9" w:rsidRDefault="00EF4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66D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4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EF4DB9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EF4DB9" w:rsidRPr="00EF4DB9" w:rsidRDefault="00E66D68" w:rsidP="00E66D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DB9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EF4DB9" w:rsidRPr="00EF4DB9" w:rsidRDefault="00E66D68" w:rsidP="00E66D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В</w:t>
      </w:r>
      <w:r w:rsidRPr="00EF4DB9">
        <w:rPr>
          <w:rFonts w:ascii="Times New Roman" w:hAnsi="Times New Roman" w:cs="Times New Roman"/>
          <w:sz w:val="24"/>
          <w:szCs w:val="24"/>
        </w:rPr>
        <w:t>ыборгского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EF4DB9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EF4D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4DB9" w:rsidRPr="00EF4DB9" w:rsidRDefault="00EF4DB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48"/>
        <w:gridCol w:w="1644"/>
        <w:gridCol w:w="1757"/>
        <w:gridCol w:w="1984"/>
      </w:tblGrid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741" w:type="dxa"/>
            <w:gridSpan w:val="2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98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EF4DB9" w:rsidRPr="00EF4DB9">
        <w:tc>
          <w:tcPr>
            <w:tcW w:w="737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gridSpan w:val="4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B36100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proofErr w:type="spellStart"/>
            <w:r w:rsidR="00B36100">
              <w:rPr>
                <w:rFonts w:ascii="Times New Roman" w:hAnsi="Times New Roman" w:cs="Times New Roman"/>
                <w:sz w:val="24"/>
                <w:szCs w:val="24"/>
              </w:rPr>
              <w:t>Выборгтеплоэнерго</w:t>
            </w:r>
            <w:proofErr w:type="spellEnd"/>
            <w:r w:rsidR="00B361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нию, муниципальных образований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енногорское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поселение», «Приморское городское поселение», «Рощинское городское поселение», «</w:t>
            </w:r>
            <w:proofErr w:type="spellStart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осельское сельское поселение», «Первомайское сельское поселение», «</w:t>
            </w:r>
            <w:proofErr w:type="spellStart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«</w:t>
            </w:r>
            <w:proofErr w:type="spellStart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Селезневское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B36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Выборгское городское п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A9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«Советское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Светогорско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области, в зоне действия единой 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теплоснабжающей организац</w:t>
            </w:r>
            <w:proofErr w:type="gramStart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ии АО</w:t>
            </w:r>
            <w:proofErr w:type="gram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Выборгтеплоэнерго</w:t>
            </w:r>
            <w:proofErr w:type="spellEnd"/>
            <w:r w:rsidR="00EC0C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: г. Светогорск, а также потребителей, получающих тепловую энергию от газовой котельной в д.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и дизельных котельных в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. Лесогорский, расположенных по адресу: ул. Советов, 7, и ул. </w:t>
            </w:r>
            <w:proofErr w:type="gram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, 14б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1.4.5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1D3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gridSpan w:val="4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Санкт-Петербургского государственного бюджетн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ого учреждения здравоохранения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Городской туберк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улезный санаторий «Сосновый бор»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DF2759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DF2759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="00DF27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</w:tcPr>
          <w:p w:rsidR="00EF4DB9" w:rsidRPr="00EF4DB9" w:rsidRDefault="00EF4D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3" w:type="dxa"/>
            <w:gridSpan w:val="4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федерального государ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ственного казенного учреждения «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Пограничное управление Федеральной службы безопасности Российской Федерации по городу Санкт-Пет</w:t>
            </w:r>
            <w:r w:rsidR="00EC0C22">
              <w:rPr>
                <w:rFonts w:ascii="Times New Roman" w:hAnsi="Times New Roman" w:cs="Times New Roman"/>
                <w:sz w:val="24"/>
                <w:szCs w:val="24"/>
              </w:rPr>
              <w:t>ербургу и Ленинградской области»</w:t>
            </w:r>
          </w:p>
        </w:tc>
      </w:tr>
      <w:tr w:rsidR="00EF4DB9" w:rsidRPr="00EF4DB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EF4DB9" w:rsidRPr="00EF4DB9" w:rsidRDefault="00EF4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 муниципального образования "Выборгское городское поселение" Выборгского муниципального района Ленинградской области (тарифы указываются с учетом НДС) &lt;*&gt;</w:t>
            </w:r>
          </w:p>
        </w:tc>
      </w:tr>
      <w:tr w:rsidR="00EF4DB9" w:rsidRPr="00EF4DB9">
        <w:tc>
          <w:tcPr>
            <w:tcW w:w="737" w:type="dxa"/>
            <w:vMerge w:val="restart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948" w:type="dxa"/>
            <w:vMerge w:val="restart"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EF4DB9" w:rsidRPr="00EF4DB9">
        <w:tc>
          <w:tcPr>
            <w:tcW w:w="737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F4DB9" w:rsidRPr="00EF4DB9" w:rsidRDefault="00EF4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F4DB9" w:rsidRPr="00EF4DB9" w:rsidRDefault="00EF4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EF4DB9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84" w:type="dxa"/>
          </w:tcPr>
          <w:p w:rsidR="00EF4DB9" w:rsidRPr="00EF4DB9" w:rsidRDefault="00EC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8">
        <w:r w:rsidRPr="00EF4DB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DB9" w:rsidRPr="00EF4DB9" w:rsidRDefault="00EF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>Примечания: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EF4DB9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A4551B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A4551B">
        <w:rPr>
          <w:rFonts w:ascii="Times New Roman" w:hAnsi="Times New Roman"/>
          <w:sz w:val="24"/>
          <w:szCs w:val="24"/>
        </w:rPr>
        <w:t xml:space="preserve">   </w:t>
      </w:r>
      <w:r w:rsidR="00A4551B" w:rsidRPr="00A5294A">
        <w:rPr>
          <w:rFonts w:ascii="Times New Roman" w:hAnsi="Times New Roman"/>
          <w:sz w:val="24"/>
          <w:szCs w:val="24"/>
        </w:rPr>
        <w:t>№ 3413-р</w:t>
      </w:r>
      <w:r w:rsidRPr="00EF4DB9">
        <w:rPr>
          <w:rFonts w:ascii="Times New Roman" w:hAnsi="Times New Roman" w:cs="Times New Roman"/>
          <w:sz w:val="24"/>
          <w:szCs w:val="24"/>
        </w:rPr>
        <w:t>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0">
        <w:r w:rsidRPr="00EF4D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4DB9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4DB9">
        <w:rPr>
          <w:rFonts w:ascii="Times New Roman" w:hAnsi="Times New Roman" w:cs="Times New Roman"/>
          <w:sz w:val="24"/>
          <w:szCs w:val="24"/>
        </w:rPr>
        <w:t xml:space="preserve"> 75-оз "О льготных тарифах в сферах теплоснабжения, водоснабжения и водоотведения на территории Ленинградской области".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EF4DB9" w:rsidRPr="00EF4DB9" w:rsidRDefault="00EF4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4D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F4DB9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EF4DB9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EF4DB9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EF4DB9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EF4DB9" w:rsidRDefault="00EF4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C22" w:rsidRPr="00EC0C22" w:rsidRDefault="00EC0C22" w:rsidP="00EC0C22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F115C6" w:rsidRPr="00EF4DB9" w:rsidRDefault="00F115C6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F115C6" w:rsidRPr="00EF4DB9" w:rsidSect="00A4551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B9"/>
    <w:rsid w:val="00145B41"/>
    <w:rsid w:val="00194854"/>
    <w:rsid w:val="001D3DEF"/>
    <w:rsid w:val="00281946"/>
    <w:rsid w:val="002D7F07"/>
    <w:rsid w:val="00395540"/>
    <w:rsid w:val="00A4551B"/>
    <w:rsid w:val="00A95D14"/>
    <w:rsid w:val="00B36100"/>
    <w:rsid w:val="00DF2759"/>
    <w:rsid w:val="00E66D68"/>
    <w:rsid w:val="00EC0C22"/>
    <w:rsid w:val="00EF4DB9"/>
    <w:rsid w:val="00F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1418&amp;dst=100030" TargetMode="External"/><Relationship Id="rId18" Type="http://schemas.openxmlformats.org/officeDocument/2006/relationships/hyperlink" Target="https://login.consultant.ru/link/?req=doc&amp;base=LAW&amp;n=510752&amp;dst=1460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SPB&amp;n=264676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264676" TargetMode="External"/><Relationship Id="rId20" Type="http://schemas.openxmlformats.org/officeDocument/2006/relationships/hyperlink" Target="https://login.consultant.ru/link/?req=doc&amp;base=SPB&amp;n=26467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278&amp;dst=100006" TargetMode="External"/><Relationship Id="rId10" Type="http://schemas.openxmlformats.org/officeDocument/2006/relationships/hyperlink" Target="https://login.consultant.ru/link/?req=doc&amp;base=LAW&amp;n=491278" TargetMode="External"/><Relationship Id="rId19" Type="http://schemas.openxmlformats.org/officeDocument/2006/relationships/hyperlink" Target="https://login.consultant.ru/link/?req=doc&amp;base=LAW&amp;n=49127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hyperlink" Target="https://login.consultant.ru/link/?req=doc&amp;base=LAW&amp;n=510752&amp;dst=146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9479-4C3D-40FC-A5FB-56B5BB52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8</cp:revision>
  <dcterms:created xsi:type="dcterms:W3CDTF">2025-10-09T10:44:00Z</dcterms:created>
  <dcterms:modified xsi:type="dcterms:W3CDTF">2025-12-10T08:52:00Z</dcterms:modified>
</cp:coreProperties>
</file>