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8E" w:rsidRDefault="0031198E" w:rsidP="0031198E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31198E" w:rsidRDefault="0031198E" w:rsidP="0031198E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1198E" w:rsidRDefault="0031198E" w:rsidP="0031198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98E" w:rsidRDefault="0031198E" w:rsidP="003119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декабря 2025 года                                                                                                               № 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31198E" w:rsidRPr="0031198E" w:rsidRDefault="0031198E">
      <w:pPr>
        <w:pStyle w:val="ConsPlusTitl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Default="0031198E" w:rsidP="003119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установлении тарифов на тепловую энергию и горячую воду (горячее водоснабжение),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поставляемые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населению, организациям, приобретающим тепловую энергию и горячую</w:t>
      </w:r>
    </w:p>
    <w:p w:rsidR="0031198E" w:rsidRPr="0031198E" w:rsidRDefault="0031198E" w:rsidP="003119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воду для предоставления коммунальных услуг населению, на территории Ломоносовского муниципального района Ленинградской области на 2026 год</w:t>
      </w:r>
    </w:p>
    <w:p w:rsidR="0031198E" w:rsidRPr="0031198E" w:rsidRDefault="0031198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 w:rsidP="003119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В соответствии с Федеральным </w:t>
      </w:r>
      <w:hyperlink r:id="rId5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законом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от 27 июля 2010 года № 190-ФЗ «О теплоснабжении», Федеральным </w:t>
      </w:r>
      <w:hyperlink r:id="rId6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законом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от 7 декабря 2011 года № 416-ФЗ «О водоснабжении и водоотведении», </w:t>
      </w:r>
      <w:hyperlink r:id="rId7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постановлением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8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постановлением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hyperlink r:id="rId9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распоряжением</w:t>
        </w:r>
        <w:proofErr w:type="gramEnd"/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proofErr w:type="gramStart"/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Правительства Российской Федерации от 25 ноября 2025 года № 3413-р, </w:t>
      </w:r>
      <w:hyperlink r:id="rId10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приказом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1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законом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от 20 </w:t>
      </w:r>
      <w:r w:rsidR="002702AE">
        <w:rPr>
          <w:rFonts w:ascii="Times New Roman" w:hAnsi="Times New Roman" w:cs="Times New Roman"/>
          <w:color w:val="000000" w:themeColor="text1"/>
          <w:szCs w:val="22"/>
        </w:rPr>
        <w:t xml:space="preserve">июля 2015 года </w:t>
      </w:r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№ 75-оз «О льготных тарифах в сфере теплоснабжения, водоснабжения и водоотведения на территории Ленинградской области», </w:t>
      </w:r>
      <w:hyperlink r:id="rId12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Положением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о комитете по</w:t>
      </w:r>
      <w:proofErr w:type="gramEnd"/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</w:t>
      </w:r>
      <w:r w:rsidR="00D10FAA">
        <w:rPr>
          <w:rFonts w:ascii="Times New Roman" w:hAnsi="Times New Roman" w:cs="Times New Roman"/>
          <w:color w:val="000000" w:themeColor="text1"/>
          <w:szCs w:val="22"/>
        </w:rPr>
        <w:t>дской области от 19 декабря 2025</w:t>
      </w:r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года № </w:t>
      </w:r>
    </w:p>
    <w:p w:rsidR="0031198E" w:rsidRDefault="003119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Cs w:val="24"/>
        </w:rPr>
        <w:t>приказываю: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Cs w:val="24"/>
        </w:rPr>
      </w:pPr>
    </w:p>
    <w:p w:rsidR="0031198E" w:rsidRPr="0031198E" w:rsidRDefault="0031198E" w:rsidP="0031198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1. Установить </w:t>
      </w:r>
      <w:hyperlink w:anchor="P41">
        <w:r w:rsidRPr="0031198E">
          <w:rPr>
            <w:rFonts w:ascii="Times New Roman" w:hAnsi="Times New Roman" w:cs="Times New Roman"/>
            <w:color w:val="000000" w:themeColor="text1"/>
            <w:szCs w:val="24"/>
          </w:rPr>
          <w:t>тарифы</w:t>
        </w:r>
      </w:hyperlink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Ломоносовского муниципального района Ленинградской области на 2026 год согласно приложению 1 к настоящему приказу.</w:t>
      </w:r>
    </w:p>
    <w:p w:rsidR="0031198E" w:rsidRPr="0031198E" w:rsidRDefault="0031198E" w:rsidP="0031198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2. Установить льготные </w:t>
      </w:r>
      <w:hyperlink w:anchor="P92">
        <w:r w:rsidRPr="0031198E">
          <w:rPr>
            <w:rFonts w:ascii="Times New Roman" w:hAnsi="Times New Roman" w:cs="Times New Roman"/>
            <w:color w:val="000000" w:themeColor="text1"/>
            <w:szCs w:val="24"/>
          </w:rPr>
          <w:t>тарифы</w:t>
        </w:r>
      </w:hyperlink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Ломоносовского муниципального района Ленинградской области на 2026 год согласно приложению 2 к настоящему приказу.</w:t>
      </w:r>
    </w:p>
    <w:p w:rsidR="0031198E" w:rsidRPr="0031198E" w:rsidRDefault="0031198E" w:rsidP="0031198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3. Установить </w:t>
      </w:r>
      <w:hyperlink w:anchor="P269">
        <w:r w:rsidRPr="0031198E">
          <w:rPr>
            <w:rFonts w:ascii="Times New Roman" w:hAnsi="Times New Roman" w:cs="Times New Roman"/>
            <w:color w:val="000000" w:themeColor="text1"/>
            <w:szCs w:val="24"/>
          </w:rPr>
          <w:t>тарифы</w:t>
        </w:r>
      </w:hyperlink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Ломоносовского муниципального района Ленинградской области на 2026 год согласно приложению 3 к настоящему приказу.</w:t>
      </w:r>
    </w:p>
    <w:p w:rsidR="0031198E" w:rsidRPr="0031198E" w:rsidRDefault="0031198E" w:rsidP="0031198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4. Установить льготные </w:t>
      </w:r>
      <w:hyperlink w:anchor="P368">
        <w:r w:rsidRPr="0031198E">
          <w:rPr>
            <w:rFonts w:ascii="Times New Roman" w:hAnsi="Times New Roman" w:cs="Times New Roman"/>
            <w:color w:val="000000" w:themeColor="text1"/>
            <w:szCs w:val="24"/>
          </w:rPr>
          <w:t>тарифы</w:t>
        </w:r>
      </w:hyperlink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Ломоносовского муниципального района Ленинградской области на 2025 год согласно приложению к настоящему приказу.</w:t>
      </w:r>
    </w:p>
    <w:p w:rsidR="0031198E" w:rsidRPr="0031198E" w:rsidRDefault="0031198E" w:rsidP="0031198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Cs w:val="24"/>
        </w:rPr>
        <w:t>5. Настоящий приказ вступает в силу в установленном порядке.</w:t>
      </w:r>
    </w:p>
    <w:p w:rsid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Cs w:val="24"/>
        </w:rPr>
      </w:pPr>
    </w:p>
    <w:p w:rsidR="0031198E" w:rsidRP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1198E">
        <w:rPr>
          <w:rFonts w:ascii="Times New Roman" w:eastAsia="Calibri" w:hAnsi="Times New Roman" w:cs="Times New Roman"/>
          <w:szCs w:val="24"/>
        </w:rPr>
        <w:t>Заместитель председателя комитета по тарифам</w:t>
      </w:r>
    </w:p>
    <w:p w:rsid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1198E">
        <w:rPr>
          <w:rFonts w:ascii="Times New Roman" w:eastAsia="Calibri" w:hAnsi="Times New Roman" w:cs="Times New Roman"/>
          <w:szCs w:val="24"/>
        </w:rPr>
        <w:t>и ценовой политике Ленинградской области                                                                   С.Н. Степанова</w:t>
      </w:r>
    </w:p>
    <w:p w:rsid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31198E" w:rsidRP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Государственный регистрационный номер:</w:t>
      </w:r>
    </w:p>
    <w:p w:rsidR="0031198E" w:rsidRP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31198E" w:rsidRDefault="0031198E" w:rsidP="0031198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1198E" w:rsidRDefault="0031198E" w:rsidP="0031198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1198E" w:rsidRDefault="0031198E" w:rsidP="0031198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31198E" w:rsidRPr="0031198E" w:rsidRDefault="003119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41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арифы</w:t>
      </w:r>
    </w:p>
    <w:p w:rsidR="0031198E" w:rsidRPr="0031198E" w:rsidRDefault="0031198E" w:rsidP="003119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 населению, на территории 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омоносовского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 на 2026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31198E" w:rsidRPr="0031198E" w:rsidRDefault="0031198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855"/>
        <w:gridCol w:w="3005"/>
        <w:gridCol w:w="1417"/>
      </w:tblGrid>
      <w:tr w:rsidR="0031198E" w:rsidRPr="0031198E">
        <w:tc>
          <w:tcPr>
            <w:tcW w:w="73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тарифа</w:t>
            </w:r>
          </w:p>
        </w:tc>
        <w:tc>
          <w:tcPr>
            <w:tcW w:w="3005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41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Вода</w:t>
            </w:r>
          </w:p>
        </w:tc>
      </w:tr>
      <w:tr w:rsidR="0031198E" w:rsidRPr="0031198E">
        <w:tc>
          <w:tcPr>
            <w:tcW w:w="737" w:type="dxa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7" w:type="dxa"/>
            <w:gridSpan w:val="3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войсковой части &lt;...&gt; Федеральной службы войск национальной гвардии Российской Федерации</w:t>
            </w:r>
          </w:p>
        </w:tc>
      </w:tr>
      <w:tr w:rsidR="0031198E" w:rsidRPr="0031198E">
        <w:tc>
          <w:tcPr>
            <w:tcW w:w="73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8277" w:type="dxa"/>
            <w:gridSpan w:val="3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Лебяженское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>
        <w:tc>
          <w:tcPr>
            <w:tcW w:w="737" w:type="dxa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3855" w:type="dxa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>
        <w:tc>
          <w:tcPr>
            <w:tcW w:w="737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>
        <w:tc>
          <w:tcPr>
            <w:tcW w:w="737" w:type="dxa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7" w:type="dxa"/>
            <w:gridSpan w:val="3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общества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«Тепловая Компания «Северная»</w:t>
            </w:r>
          </w:p>
        </w:tc>
      </w:tr>
      <w:tr w:rsidR="0031198E" w:rsidRPr="0031198E">
        <w:tc>
          <w:tcPr>
            <w:tcW w:w="73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8277" w:type="dxa"/>
            <w:gridSpan w:val="3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gram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Русско-Высоцкое</w:t>
            </w:r>
            <w:proofErr w:type="gram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>
        <w:tc>
          <w:tcPr>
            <w:tcW w:w="737" w:type="dxa"/>
            <w:vMerge w:val="restart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3855" w:type="dxa"/>
            <w:vMerge w:val="restart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Выделяется в целях реализации </w:t>
      </w:r>
      <w:hyperlink r:id="rId13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6 статьи 168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(часть вторая).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A54925" w:rsidP="00A549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Примечание: </w:t>
      </w:r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Тарифы установлены </w:t>
      </w:r>
      <w:proofErr w:type="gramStart"/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4">
        <w:r w:rsidR="0031198E"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индексами</w:t>
        </w:r>
      </w:hyperlink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25 ноября 2025 года    № 3413-р</w:t>
      </w:r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925" w:rsidRPr="00A54925" w:rsidRDefault="00A54925" w:rsidP="00A54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54925" w:rsidRDefault="00A54925" w:rsidP="00A5492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54925" w:rsidRDefault="00A54925" w:rsidP="00A5492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54925" w:rsidRDefault="00A54925" w:rsidP="00A5492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31198E" w:rsidRPr="0031198E" w:rsidRDefault="003119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A5492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92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ьготные тарифы</w:t>
      </w:r>
    </w:p>
    <w:p w:rsidR="0031198E" w:rsidRPr="0031198E" w:rsidRDefault="00A54925" w:rsidP="00A5492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 населению, на территории 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омоносовского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 на 2026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31198E" w:rsidRPr="0031198E" w:rsidRDefault="0031198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675"/>
        <w:gridCol w:w="93"/>
        <w:gridCol w:w="2665"/>
        <w:gridCol w:w="473"/>
        <w:gridCol w:w="624"/>
        <w:gridCol w:w="2701"/>
        <w:gridCol w:w="304"/>
        <w:gridCol w:w="1417"/>
        <w:gridCol w:w="93"/>
      </w:tblGrid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55" w:type="dxa"/>
            <w:gridSpan w:val="4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тарифа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41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Вода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муницип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унитарного предприятия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жилищно-коммунальным хозяйством муниципального образовани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Виллозское</w:t>
            </w:r>
            <w:proofErr w:type="spellEnd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поселение»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Виллозское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набжения акционерного общества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женерно-энергетический комплекс»</w:t>
            </w:r>
          </w:p>
        </w:tc>
      </w:tr>
      <w:tr w:rsidR="0031198E" w:rsidRPr="0031198E" w:rsidTr="0051202A">
        <w:tblPrEx>
          <w:tblBorders>
            <w:insideH w:val="nil"/>
          </w:tblBorders>
        </w:tblPrEx>
        <w:trPr>
          <w:gridAfter w:val="1"/>
          <w:wAfter w:w="93" w:type="dxa"/>
        </w:trPr>
        <w:tc>
          <w:tcPr>
            <w:tcW w:w="737" w:type="dxa"/>
            <w:gridSpan w:val="2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8277" w:type="dxa"/>
            <w:gridSpan w:val="7"/>
            <w:tcBorders>
              <w:bottom w:val="nil"/>
            </w:tcBorders>
          </w:tcPr>
          <w:p w:rsidR="0031198E" w:rsidRPr="0031198E" w:rsidRDefault="002702A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Аннинское городское поселение,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Горбунковское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Кипенское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(за исключением котельной д.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Келози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Лопухинское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Оржицкое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Ропшинское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(за исключением котельных п. Ропша, д.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Яльгелево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Ломоносовского муниципального района Ленинградской области (тарифы указываются с учетом НДС) &lt;*&gt;</w:t>
            </w:r>
            <w:proofErr w:type="gramEnd"/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общества с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Лемэк</w:t>
            </w:r>
            <w:proofErr w:type="spellEnd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предоставления коммунальных услуг населению, муниципального образования Аннинское городское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муницип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унитарного предприятия «</w:t>
            </w:r>
            <w:proofErr w:type="spellStart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Низино</w:t>
            </w:r>
            <w:proofErr w:type="spellEnd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Низинское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4.1.2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общества с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«Тепловая Компания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еверная»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Ропшинское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5.1.1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общества с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Промэнерго</w:t>
            </w:r>
            <w:proofErr w:type="spellEnd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Лебяженское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общества с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ЖилКомТеплоЭнерго</w:t>
            </w:r>
            <w:proofErr w:type="spellEnd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&lt;**&gt;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Аннинское городское поселение Ломоносовского муниципального района Ленинградской области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7.1.1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государст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венного унитарного предприятия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Топливно-энергетич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еский комплекс Санкт-Петербурга»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Виллозское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8.1.1</w:t>
            </w:r>
          </w:p>
        </w:tc>
        <w:tc>
          <w:tcPr>
            <w:tcW w:w="3855" w:type="dxa"/>
            <w:gridSpan w:val="4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31198E" w:rsidRPr="0031198E" w:rsidRDefault="00A549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blPrEx>
          <w:tblBorders>
            <w:insideH w:val="nil"/>
          </w:tblBorders>
        </w:tblPrEx>
        <w:trPr>
          <w:gridAfter w:val="1"/>
          <w:wAfter w:w="93" w:type="dxa"/>
        </w:trPr>
        <w:tc>
          <w:tcPr>
            <w:tcW w:w="737" w:type="dxa"/>
            <w:gridSpan w:val="2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77" w:type="dxa"/>
            <w:gridSpan w:val="7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общества с огранич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енной ответственностью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веро-Западная Тепловая Компания»</w:t>
            </w:r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8277" w:type="dxa"/>
            <w:gridSpan w:val="7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на территории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Кипенского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(для котельной д.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Келози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Лаголовского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Ропшинского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(для котельных п. Ропша, д.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Яльгелево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9859C7" w:rsidRPr="0031198E" w:rsidTr="009859C7">
        <w:trPr>
          <w:gridAfter w:val="1"/>
          <w:wAfter w:w="93" w:type="dxa"/>
          <w:trHeight w:val="464"/>
        </w:trPr>
        <w:tc>
          <w:tcPr>
            <w:tcW w:w="737" w:type="dxa"/>
            <w:gridSpan w:val="2"/>
            <w:vMerge w:val="restart"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9.1.1</w:t>
            </w:r>
          </w:p>
        </w:tc>
        <w:tc>
          <w:tcPr>
            <w:tcW w:w="3855" w:type="dxa"/>
            <w:gridSpan w:val="4"/>
            <w:vMerge w:val="restart"/>
          </w:tcPr>
          <w:p w:rsidR="009859C7" w:rsidRPr="0031198E" w:rsidRDefault="009859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  <w:gridSpan w:val="2"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9859C7" w:rsidRPr="0031198E" w:rsidTr="0051202A">
        <w:trPr>
          <w:gridAfter w:val="1"/>
          <w:wAfter w:w="93" w:type="dxa"/>
          <w:trHeight w:val="463"/>
        </w:trPr>
        <w:tc>
          <w:tcPr>
            <w:tcW w:w="737" w:type="dxa"/>
            <w:gridSpan w:val="2"/>
            <w:vMerge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</w:tcPr>
          <w:p w:rsidR="009859C7" w:rsidRPr="0031198E" w:rsidRDefault="009859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9859C7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blPrEx>
          <w:tblBorders>
            <w:insideH w:val="nil"/>
          </w:tblBorders>
        </w:tblPrEx>
        <w:trPr>
          <w:gridAfter w:val="1"/>
          <w:wAfter w:w="93" w:type="dxa"/>
        </w:trPr>
        <w:tc>
          <w:tcPr>
            <w:tcW w:w="737" w:type="dxa"/>
            <w:gridSpan w:val="2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77" w:type="dxa"/>
            <w:gridSpan w:val="7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теплоснабжения общества с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ика. Консалтинг. Юриспруденция</w:t>
            </w:r>
            <w:proofErr w:type="gramStart"/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</w:tr>
      <w:tr w:rsidR="0031198E" w:rsidRPr="0031198E" w:rsidTr="0051202A">
        <w:trPr>
          <w:gridAfter w:val="1"/>
          <w:wAfter w:w="93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8277" w:type="dxa"/>
            <w:gridSpan w:val="7"/>
          </w:tcPr>
          <w:p w:rsidR="0031198E" w:rsidRPr="0031198E" w:rsidRDefault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на территории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Лебяженского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Ломоносовского муниципального района Ленинградской области &lt;***&gt;</w:t>
            </w:r>
          </w:p>
        </w:tc>
      </w:tr>
      <w:tr w:rsidR="009859C7" w:rsidRPr="0031198E" w:rsidTr="009859C7">
        <w:trPr>
          <w:gridAfter w:val="1"/>
          <w:wAfter w:w="93" w:type="dxa"/>
          <w:trHeight w:val="345"/>
        </w:trPr>
        <w:tc>
          <w:tcPr>
            <w:tcW w:w="737" w:type="dxa"/>
            <w:gridSpan w:val="2"/>
            <w:vMerge w:val="restart"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10.1.1</w:t>
            </w:r>
          </w:p>
        </w:tc>
        <w:tc>
          <w:tcPr>
            <w:tcW w:w="3231" w:type="dxa"/>
            <w:gridSpan w:val="3"/>
            <w:vMerge w:val="restart"/>
          </w:tcPr>
          <w:p w:rsidR="009859C7" w:rsidRPr="0031198E" w:rsidRDefault="009859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629" w:type="dxa"/>
            <w:gridSpan w:val="3"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9859C7" w:rsidRPr="0031198E" w:rsidTr="0051202A">
        <w:trPr>
          <w:gridAfter w:val="1"/>
          <w:wAfter w:w="93" w:type="dxa"/>
          <w:trHeight w:val="344"/>
        </w:trPr>
        <w:tc>
          <w:tcPr>
            <w:tcW w:w="737" w:type="dxa"/>
            <w:gridSpan w:val="2"/>
            <w:vMerge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vMerge/>
          </w:tcPr>
          <w:p w:rsidR="009859C7" w:rsidRPr="0031198E" w:rsidRDefault="009859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dxa"/>
            <w:gridSpan w:val="3"/>
          </w:tcPr>
          <w:p w:rsidR="009859C7" w:rsidRPr="0031198E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9859C7" w:rsidRDefault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51202A" w:rsidRPr="0051202A" w:rsidTr="00512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2A" w:rsidRPr="0051202A" w:rsidRDefault="0051202A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2A" w:rsidRPr="0051202A" w:rsidRDefault="0051202A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зоне теплоснабжения общества с ограниченной ответственностью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Промэнерго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1202A" w:rsidRPr="0051202A" w:rsidTr="00512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2A" w:rsidRPr="0051202A" w:rsidRDefault="0051202A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8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2A" w:rsidRPr="0051202A" w:rsidRDefault="0051202A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на территории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Большеижорского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поселения,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Гостилицкого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Копорского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Пениковского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9859C7" w:rsidRPr="0051202A" w:rsidTr="00985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44"/>
        </w:trPr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9C7" w:rsidRPr="0051202A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11.1.1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9C7" w:rsidRPr="0051202A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9C7" w:rsidRPr="0051202A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9C7" w:rsidRPr="0051202A" w:rsidRDefault="009859C7" w:rsidP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9859C7" w:rsidRPr="0051202A" w:rsidTr="00985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44"/>
        </w:trPr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9C7" w:rsidRPr="0051202A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9C7" w:rsidRPr="0051202A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7" w:rsidRPr="0031198E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9C7" w:rsidRDefault="009859C7" w:rsidP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59C7" w:rsidRPr="0051202A" w:rsidTr="00985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44"/>
        </w:trPr>
        <w:tc>
          <w:tcPr>
            <w:tcW w:w="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7" w:rsidRPr="0051202A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7" w:rsidRPr="0051202A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7" w:rsidRPr="0051202A" w:rsidRDefault="009859C7" w:rsidP="005120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7" w:rsidRDefault="009859C7" w:rsidP="009859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</w:tbl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Выделяется в целях реализации </w:t>
      </w:r>
      <w:hyperlink r:id="rId15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6 статьи 168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(часть вторая).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&lt;**&gt; Тарифы указаны с учетом налога на добавленную стоимость (5%), с 1 января 2025 года подлежащего уплате в соответствии с Налоговым </w:t>
      </w:r>
      <w:hyperlink r:id="rId16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31198E" w:rsidRDefault="003119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(сноска в ред. </w:t>
      </w:r>
      <w:hyperlink r:id="rId17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Приказа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по тарифам и ценовой политике Ленинградской области от 03.03.2025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27-п)</w:t>
      </w:r>
    </w:p>
    <w:p w:rsidR="0051202A" w:rsidRDefault="005120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202A" w:rsidRPr="0031198E" w:rsidRDefault="0051202A" w:rsidP="005120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02A">
        <w:rPr>
          <w:rFonts w:ascii="Times New Roman" w:hAnsi="Times New Roman" w:cs="Times New Roman"/>
          <w:color w:val="000000" w:themeColor="text1"/>
          <w:sz w:val="24"/>
          <w:szCs w:val="24"/>
        </w:rPr>
        <w:t>&lt;***&gt;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Федерации.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Примечания: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Тарифы установлены </w:t>
      </w:r>
      <w:proofErr w:type="gram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8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индексами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A54925" w:rsidRPr="00A54925">
        <w:rPr>
          <w:rFonts w:ascii="Times New Roman" w:hAnsi="Times New Roman" w:cs="Times New Roman"/>
          <w:color w:val="000000" w:themeColor="text1"/>
          <w:sz w:val="24"/>
          <w:szCs w:val="24"/>
        </w:rPr>
        <w:t>25 ноября 2025 года    № 3413-р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Льготные тарифы установлены в соответствии с областным </w:t>
      </w:r>
      <w:hyperlink r:id="rId19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A54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75-оз «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льготных тарифах в сферах теплоснабжения,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водоснабжения и водоотведения на т</w:t>
      </w:r>
      <w:r w:rsidR="00A54925">
        <w:rPr>
          <w:rFonts w:ascii="Times New Roman" w:hAnsi="Times New Roman" w:cs="Times New Roman"/>
          <w:color w:val="000000" w:themeColor="text1"/>
          <w:sz w:val="24"/>
          <w:szCs w:val="24"/>
        </w:rPr>
        <w:t>ерритории Ленинградской области»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Компенсация выпадающих доходов </w:t>
      </w:r>
      <w:proofErr w:type="spell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ресурсоснабжающих</w:t>
      </w:r>
      <w:proofErr w:type="spell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правовым актом Правительства Ленинградской области.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Условные обозначения: ГВС </w:t>
      </w:r>
      <w:r w:rsidR="00A5492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горячее водоснабжение, МКД </w:t>
      </w:r>
      <w:r w:rsidR="00A5492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многоквартирный дом, ИТП </w:t>
      </w:r>
      <w:r w:rsidR="00A5492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20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54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одноставочный</w:t>
      </w:r>
      <w:proofErr w:type="spell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тариф на тепловую энергию.</w:t>
      </w:r>
    </w:p>
    <w:p w:rsid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одноставочного</w:t>
      </w:r>
      <w:proofErr w:type="spell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одноставочный</w:t>
      </w:r>
      <w:proofErr w:type="spell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тариф на тепловую</w:t>
      </w:r>
      <w:proofErr w:type="gram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A54925" w:rsidRDefault="00A54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925" w:rsidRDefault="00A54925" w:rsidP="00A549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54925" w:rsidRPr="0031198E" w:rsidRDefault="00A54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925" w:rsidRDefault="00A5492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925" w:rsidRDefault="00A5492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925" w:rsidRDefault="00A5492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925" w:rsidRDefault="00A5492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59C7" w:rsidRPr="0031198E" w:rsidRDefault="009859C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925" w:rsidRDefault="00A54925" w:rsidP="00A5492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A54925" w:rsidRDefault="00A54925" w:rsidP="00A5492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54925" w:rsidRDefault="00A54925" w:rsidP="00A5492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27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69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арифы</w:t>
      </w:r>
    </w:p>
    <w:p w:rsidR="0031198E" w:rsidRPr="0031198E" w:rsidRDefault="002702AE" w:rsidP="0027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коммунальных услуг населению,</w:t>
      </w:r>
    </w:p>
    <w:p w:rsidR="0031198E" w:rsidRPr="0031198E" w:rsidRDefault="0027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омоносовского муниципального района</w:t>
      </w:r>
    </w:p>
    <w:p w:rsidR="0031198E" w:rsidRPr="0031198E" w:rsidRDefault="0027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енинградской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2026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118"/>
        <w:gridCol w:w="1587"/>
        <w:gridCol w:w="1757"/>
        <w:gridCol w:w="1871"/>
      </w:tblGrid>
      <w:tr w:rsidR="0031198E" w:rsidRPr="0031198E">
        <w:tc>
          <w:tcPr>
            <w:tcW w:w="737" w:type="dxa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587" w:type="dxa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28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31198E" w:rsidRPr="0031198E">
        <w:tc>
          <w:tcPr>
            <w:tcW w:w="737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 на тепловую энергию</w:t>
            </w:r>
          </w:p>
        </w:tc>
      </w:tr>
      <w:tr w:rsidR="0031198E" w:rsidRPr="0031198E">
        <w:tc>
          <w:tcPr>
            <w:tcW w:w="737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</w:tr>
      <w:tr w:rsidR="0031198E" w:rsidRPr="0031198E">
        <w:tc>
          <w:tcPr>
            <w:tcW w:w="73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33" w:type="dxa"/>
            <w:gridSpan w:val="4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горячего водоснабжения войсковой части &lt;...&gt; Федеральной службы войск национальной гвардии Российской Федерации</w:t>
            </w:r>
          </w:p>
        </w:tc>
      </w:tr>
      <w:tr w:rsidR="0031198E" w:rsidRPr="0031198E">
        <w:tc>
          <w:tcPr>
            <w:tcW w:w="73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8333" w:type="dxa"/>
            <w:gridSpan w:val="4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 муниципального образования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Лебяженское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31198E" w:rsidRPr="0031198E">
        <w:tc>
          <w:tcPr>
            <w:tcW w:w="737" w:type="dxa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3118" w:type="dxa"/>
            <w:vMerge w:val="restart"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A54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</w:tcPr>
          <w:p w:rsidR="0031198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31198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0A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3118" w:type="dxa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8F2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0A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8F2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0A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3118" w:type="dxa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8F2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0A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8F2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0A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3118" w:type="dxa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8F2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0A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8F2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0A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</w:t>
            </w:r>
          </w:p>
        </w:tc>
        <w:tc>
          <w:tcPr>
            <w:tcW w:w="3118" w:type="dxa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8F2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0A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D31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6F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118" w:type="dxa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D31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6F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D31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6F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</w:t>
            </w:r>
          </w:p>
        </w:tc>
        <w:tc>
          <w:tcPr>
            <w:tcW w:w="3118" w:type="dxa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D31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6F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D31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6F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3118" w:type="dxa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D31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6F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>
        <w:tc>
          <w:tcPr>
            <w:tcW w:w="737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</w:tcPr>
          <w:p w:rsidR="002702AE" w:rsidRDefault="002702AE" w:rsidP="002702AE">
            <w:pPr>
              <w:jc w:val="center"/>
            </w:pPr>
            <w:r w:rsidRPr="00D31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2702AE" w:rsidRDefault="002702AE" w:rsidP="002702AE">
            <w:pPr>
              <w:jc w:val="center"/>
            </w:pPr>
            <w:r w:rsidRPr="006F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</w:tbl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Выделяется в целях реализации </w:t>
      </w:r>
      <w:hyperlink r:id="rId21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6 статьи 168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(часть вторая).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2702AE" w:rsidP="002702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Примечание: </w:t>
      </w:r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Тарифы установлены </w:t>
      </w:r>
      <w:proofErr w:type="gramStart"/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22">
        <w:r w:rsidR="0031198E"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индексами</w:t>
        </w:r>
      </w:hyperlink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Pr="00A54925">
        <w:rPr>
          <w:rFonts w:ascii="Times New Roman" w:hAnsi="Times New Roman" w:cs="Times New Roman"/>
          <w:color w:val="000000" w:themeColor="text1"/>
          <w:sz w:val="24"/>
          <w:szCs w:val="24"/>
        </w:rPr>
        <w:t>25 ноября 2025 года    № 3413-р</w:t>
      </w:r>
      <w:r w:rsidR="0031198E"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 w:rsidP="00270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2702AE" w:rsidRPr="0031198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Pr="0031198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 w:rsidP="002702A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702AE" w:rsidRDefault="002702AE" w:rsidP="002702A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2702AE" w:rsidRDefault="002702AE" w:rsidP="002702A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27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368"/>
      <w:bookmarkEnd w:id="3"/>
      <w:r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ьготные тарифы</w:t>
      </w:r>
    </w:p>
    <w:p w:rsidR="0031198E" w:rsidRPr="0031198E" w:rsidRDefault="002702AE" w:rsidP="0027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коммунальных услуг населению,</w:t>
      </w:r>
    </w:p>
    <w:p w:rsidR="0031198E" w:rsidRPr="0031198E" w:rsidRDefault="0027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омоносовского муниципального района</w:t>
      </w:r>
    </w:p>
    <w:p w:rsidR="0031198E" w:rsidRPr="0031198E" w:rsidRDefault="00270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 на 2026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31198E" w:rsidRPr="0031198E" w:rsidRDefault="0031198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675"/>
        <w:gridCol w:w="74"/>
        <w:gridCol w:w="2987"/>
        <w:gridCol w:w="210"/>
        <w:gridCol w:w="1434"/>
        <w:gridCol w:w="1115"/>
        <w:gridCol w:w="642"/>
        <w:gridCol w:w="719"/>
        <w:gridCol w:w="1152"/>
        <w:gridCol w:w="39"/>
      </w:tblGrid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061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28" w:type="dxa"/>
            <w:gridSpan w:val="4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restart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 на тепловую энергию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</w:tcPr>
          <w:p w:rsidR="0031198E" w:rsidRPr="0031198E" w:rsidRDefault="003119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33" w:type="dxa"/>
            <w:gridSpan w:val="8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горячего водоснабжения муницип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унитарного предприятия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жилищно-коммунальным хозяйством муниципального образовани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Виллозское</w:t>
            </w:r>
            <w:proofErr w:type="spellEnd"/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поселение»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8333" w:type="dxa"/>
            <w:gridSpan w:val="8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Виллозское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CC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7F3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33" w:type="dxa"/>
            <w:gridSpan w:val="8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горячего водос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набжения акционерного общества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женерно-энергетический комплекс»</w:t>
            </w:r>
          </w:p>
        </w:tc>
      </w:tr>
      <w:tr w:rsidR="0031198E" w:rsidRPr="0031198E" w:rsidTr="0051202A">
        <w:tblPrEx>
          <w:tblBorders>
            <w:insideH w:val="nil"/>
          </w:tblBorders>
        </w:tblPrEx>
        <w:trPr>
          <w:gridAfter w:val="1"/>
          <w:wAfter w:w="39" w:type="dxa"/>
        </w:trPr>
        <w:tc>
          <w:tcPr>
            <w:tcW w:w="737" w:type="dxa"/>
            <w:gridSpan w:val="2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8333" w:type="dxa"/>
            <w:gridSpan w:val="8"/>
            <w:tcBorders>
              <w:bottom w:val="nil"/>
            </w:tcBorders>
          </w:tcPr>
          <w:p w:rsidR="0031198E" w:rsidRPr="0031198E" w:rsidRDefault="002702A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Аннинское городское поселение,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Горбунковское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Кипенское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(за исключением котельной д.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Келози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Лопухинское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Оржицкое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Ропшинское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(за исключением котельных п. Ропша, д. </w:t>
            </w:r>
            <w:proofErr w:type="spellStart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Яльгелево</w:t>
            </w:r>
            <w:proofErr w:type="spellEnd"/>
            <w:r w:rsidRP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Ломоносовского муниципального района Ленинградской области (тарифы указываются с учетом НДС) &lt;*&gt;</w:t>
            </w:r>
            <w:proofErr w:type="gramEnd"/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860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49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33" w:type="dxa"/>
            <w:gridSpan w:val="8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горячего водоснабжения общества с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Лемэк</w:t>
            </w:r>
            <w:proofErr w:type="spellEnd"/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333" w:type="dxa"/>
            <w:gridSpan w:val="8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Аннинское городское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3.1.8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2C1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232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blPrEx>
          <w:tblBorders>
            <w:insideH w:val="nil"/>
          </w:tblBorders>
        </w:tblPrEx>
        <w:trPr>
          <w:gridAfter w:val="1"/>
          <w:wAfter w:w="39" w:type="dxa"/>
        </w:trPr>
        <w:tc>
          <w:tcPr>
            <w:tcW w:w="737" w:type="dxa"/>
            <w:gridSpan w:val="2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33" w:type="dxa"/>
            <w:gridSpan w:val="8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горячего водоснабжения общества с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«Тепловая Компания «Северная»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8333" w:type="dxa"/>
            <w:gridSpan w:val="8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gram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Русско-Высоцкое</w:t>
            </w:r>
            <w:proofErr w:type="gram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&lt;**&gt;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4.1.2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&lt;**&gt;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4.1.3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A23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A23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4.1.4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A23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&lt;**&gt;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4.1.5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&lt;**&gt;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4.1.6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&lt;**&gt;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4.1.7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6F0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6F0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4.1.8</w:t>
            </w:r>
          </w:p>
        </w:tc>
        <w:tc>
          <w:tcPr>
            <w:tcW w:w="3061" w:type="dxa"/>
            <w:gridSpan w:val="2"/>
            <w:vMerge w:val="restart"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Default="002702AE" w:rsidP="002702AE">
            <w:pPr>
              <w:jc w:val="center"/>
            </w:pPr>
            <w:r w:rsidRPr="006F0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702A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2702AE" w:rsidRPr="0031198E" w:rsidRDefault="002702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2702AE" w:rsidRDefault="002702AE" w:rsidP="002702AE">
            <w:pPr>
              <w:jc w:val="center"/>
            </w:pPr>
            <w:r w:rsidRPr="00DE6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2702AE" w:rsidRPr="0031198E" w:rsidRDefault="002702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&lt;**&gt;</w:t>
            </w:r>
          </w:p>
        </w:tc>
      </w:tr>
      <w:tr w:rsidR="0031198E" w:rsidRPr="0031198E" w:rsidTr="0051202A">
        <w:tblPrEx>
          <w:tblBorders>
            <w:insideH w:val="nil"/>
          </w:tblBorders>
        </w:tblPrEx>
        <w:trPr>
          <w:gridAfter w:val="1"/>
          <w:wAfter w:w="39" w:type="dxa"/>
        </w:trPr>
        <w:tc>
          <w:tcPr>
            <w:tcW w:w="737" w:type="dxa"/>
            <w:gridSpan w:val="2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33" w:type="dxa"/>
            <w:gridSpan w:val="8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горячего водоснабжения общества с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веро-Западная Тепловая Компания»</w:t>
            </w:r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8333" w:type="dxa"/>
            <w:gridSpan w:val="8"/>
          </w:tcPr>
          <w:p w:rsidR="0031198E" w:rsidRPr="0031198E" w:rsidRDefault="003119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на территории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Кипенского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(для котельной д.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Келози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Лаголовского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Ропшинского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(для котельных п. Ропша, д.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Яльгелево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B436D9" w:rsidRPr="0031198E" w:rsidTr="00B436D9">
        <w:trPr>
          <w:gridAfter w:val="1"/>
          <w:wAfter w:w="39" w:type="dxa"/>
          <w:trHeight w:val="464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795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EC1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463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7956E7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EC1099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5.1.2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795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EC1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7956E7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EC1099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795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EC1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7956E7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EC1099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5.1.4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795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EC1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7956E7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EC1099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5.1.5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795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EC1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7956E7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EC1099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5.1.6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795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EC1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7956E7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EC1099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5.1.7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795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EC1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7956E7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EC1099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5.1.8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795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EC1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7956E7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EC1099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31198E" w:rsidRPr="0031198E" w:rsidTr="0051202A">
        <w:tblPrEx>
          <w:tblBorders>
            <w:insideH w:val="nil"/>
          </w:tblBorders>
        </w:tblPrEx>
        <w:trPr>
          <w:gridAfter w:val="1"/>
          <w:wAfter w:w="39" w:type="dxa"/>
        </w:trPr>
        <w:tc>
          <w:tcPr>
            <w:tcW w:w="737" w:type="dxa"/>
            <w:gridSpan w:val="2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33" w:type="dxa"/>
            <w:gridSpan w:val="8"/>
            <w:tcBorders>
              <w:bottom w:val="nil"/>
            </w:tcBorders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горячего водоснабжения общества с ограниченной ответстве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нностью «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</w:t>
            </w:r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ика. Консалтинг. Юриспруденция</w:t>
            </w:r>
            <w:proofErr w:type="gramStart"/>
            <w:r w:rsidR="0027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</w:tr>
      <w:tr w:rsidR="0031198E" w:rsidRPr="0031198E" w:rsidTr="0051202A">
        <w:trPr>
          <w:gridAfter w:val="1"/>
          <w:wAfter w:w="39" w:type="dxa"/>
        </w:trPr>
        <w:tc>
          <w:tcPr>
            <w:tcW w:w="737" w:type="dxa"/>
            <w:gridSpan w:val="2"/>
          </w:tcPr>
          <w:p w:rsidR="0031198E" w:rsidRPr="0031198E" w:rsidRDefault="003119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333" w:type="dxa"/>
            <w:gridSpan w:val="8"/>
          </w:tcPr>
          <w:p w:rsidR="0031198E" w:rsidRPr="0031198E" w:rsidRDefault="005120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горячую воду для </w:t>
            </w: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предоставления коммунальных услуг населению, на территории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Лебяженского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Ломоносовского муниципального района Ленинградской области &lt;***&gt;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6.1.1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A17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73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A1713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735B1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6.1.2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B436D9" w:rsidRDefault="00B436D9">
            <w:r w:rsidRPr="00F4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A17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73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A1713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735B1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6.1.3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B436D9" w:rsidRDefault="00B436D9">
            <w:r w:rsidRPr="00F4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A17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73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A1713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735B1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6.1.4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B436D9" w:rsidRDefault="00B436D9">
            <w:r w:rsidRPr="00F4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A17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73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A1713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735B1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6.1.5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B436D9" w:rsidRDefault="00B436D9">
            <w:r w:rsidRPr="00F4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A17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73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A1713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735B1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6.1.6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B436D9" w:rsidRDefault="00B436D9">
            <w:r w:rsidRPr="00F4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A17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73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A1713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735B1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6.1.7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стояками, с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gridSpan w:val="2"/>
          </w:tcPr>
          <w:p w:rsidR="00B436D9" w:rsidRDefault="00B436D9">
            <w:r w:rsidRPr="00F4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01.01.2026 по 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A17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73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A1713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735B1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B436D9">
        <w:trPr>
          <w:gridAfter w:val="1"/>
          <w:wAfter w:w="39" w:type="dxa"/>
          <w:trHeight w:val="808"/>
        </w:trPr>
        <w:tc>
          <w:tcPr>
            <w:tcW w:w="737" w:type="dxa"/>
            <w:gridSpan w:val="2"/>
            <w:vMerge w:val="restart"/>
          </w:tcPr>
          <w:p w:rsidR="00B436D9" w:rsidRPr="0031198E" w:rsidRDefault="00B436D9" w:rsidP="0051202A">
            <w:pPr>
              <w:pStyle w:val="ConsPlusNormal"/>
              <w:ind w:left="-37" w:firstLine="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6.1.8</w:t>
            </w:r>
          </w:p>
        </w:tc>
        <w:tc>
          <w:tcPr>
            <w:tcW w:w="3061" w:type="dxa"/>
            <w:gridSpan w:val="2"/>
            <w:vMerge w:val="restart"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  <w:gridSpan w:val="2"/>
          </w:tcPr>
          <w:p w:rsidR="00B436D9" w:rsidRDefault="00B436D9">
            <w:r w:rsidRPr="00F47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  <w:gridSpan w:val="2"/>
          </w:tcPr>
          <w:p w:rsidR="00B436D9" w:rsidRDefault="00B436D9" w:rsidP="002702AE">
            <w:pPr>
              <w:jc w:val="center"/>
            </w:pPr>
            <w:r w:rsidRPr="00A17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Default="00B436D9" w:rsidP="002702AE">
            <w:pPr>
              <w:jc w:val="center"/>
            </w:pPr>
            <w:r w:rsidRPr="0073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31198E" w:rsidTr="0051202A">
        <w:trPr>
          <w:gridAfter w:val="1"/>
          <w:wAfter w:w="39" w:type="dxa"/>
          <w:trHeight w:val="807"/>
        </w:trPr>
        <w:tc>
          <w:tcPr>
            <w:tcW w:w="737" w:type="dxa"/>
            <w:gridSpan w:val="2"/>
            <w:vMerge/>
          </w:tcPr>
          <w:p w:rsidR="00B436D9" w:rsidRPr="0031198E" w:rsidRDefault="00B436D9" w:rsidP="0051202A">
            <w:pPr>
              <w:pStyle w:val="ConsPlusNormal"/>
              <w:ind w:left="-37" w:firstLine="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vMerge/>
          </w:tcPr>
          <w:p w:rsidR="00B436D9" w:rsidRPr="0031198E" w:rsidRDefault="00B436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B436D9" w:rsidRPr="0031198E" w:rsidRDefault="00B436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757" w:type="dxa"/>
            <w:gridSpan w:val="2"/>
          </w:tcPr>
          <w:p w:rsidR="00B436D9" w:rsidRPr="00A1713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871" w:type="dxa"/>
            <w:gridSpan w:val="2"/>
          </w:tcPr>
          <w:p w:rsidR="00B436D9" w:rsidRPr="00735B1F" w:rsidRDefault="00B436D9" w:rsidP="0027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51202A" w:rsidRPr="0051202A" w:rsidTr="00512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2A" w:rsidRPr="0051202A" w:rsidRDefault="0051202A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2A" w:rsidRPr="0051202A" w:rsidRDefault="0051202A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зоне горячего водоснабжения общества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Промэнерго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1202A" w:rsidRPr="0051202A" w:rsidTr="005120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2A" w:rsidRPr="0051202A" w:rsidRDefault="0051202A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2A" w:rsidRPr="0051202A" w:rsidRDefault="0051202A" w:rsidP="00512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на территории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Большеижорского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поселения,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Гостилицкого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Копорского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Пениковского</w:t>
            </w:r>
            <w:proofErr w:type="spellEnd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Ломоносовского муниципального района Ленинградской области (тарифы указываются с учетом НДС) &lt;*&gt;</w:t>
            </w:r>
          </w:p>
        </w:tc>
      </w:tr>
      <w:tr w:rsidR="00B436D9" w:rsidRPr="0051202A" w:rsidTr="00B43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213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7.1.1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D9" w:rsidRDefault="00B436D9">
            <w:r w:rsidRPr="00300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D9" w:rsidRDefault="00B436D9" w:rsidP="0051202A">
            <w:pPr>
              <w:jc w:val="center"/>
            </w:pPr>
            <w:r w:rsidRPr="00E67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51202A" w:rsidTr="00421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213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D9" w:rsidRPr="003008CC" w:rsidRDefault="00B43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D9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D9" w:rsidRPr="00E67365" w:rsidRDefault="00B436D9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36D9" w:rsidRPr="0051202A" w:rsidTr="0071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0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D9" w:rsidRPr="003008CC" w:rsidRDefault="00B43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D9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36D9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B436D9" w:rsidRPr="0051202A" w:rsidTr="009A6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463"/>
        </w:trPr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D9" w:rsidRPr="0051202A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D9" w:rsidRPr="003008CC" w:rsidRDefault="00B43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D9" w:rsidRDefault="00B436D9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D9" w:rsidRPr="00E67365" w:rsidRDefault="00B436D9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85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7.1.2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>
            <w:r w:rsidRPr="00300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</w:pPr>
            <w:r w:rsidRPr="00574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</w:pPr>
            <w:r>
              <w:t>**</w:t>
            </w:r>
          </w:p>
        </w:tc>
      </w:tr>
      <w:tr w:rsidR="00104A57" w:rsidRPr="0051202A" w:rsidTr="006053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0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3B7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463"/>
        </w:trPr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AF4E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7.1.3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>
            <w:r w:rsidRPr="00300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</w:pPr>
            <w:r w:rsidRPr="00574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104A57" w:rsidRPr="0051202A" w:rsidTr="00722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0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95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463"/>
        </w:trPr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A34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7.1.4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>
            <w:r w:rsidRPr="00300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</w:pPr>
            <w:r w:rsidRPr="00574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104A57" w:rsidRPr="0051202A" w:rsidTr="00241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0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3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463"/>
        </w:trPr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0F19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7.1.5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>
            <w:r w:rsidRPr="00300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</w:pPr>
            <w:r w:rsidRPr="00574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104A57" w:rsidRPr="0051202A" w:rsidTr="006E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0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D04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463"/>
        </w:trPr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856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7.1.6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>
            <w:r w:rsidRPr="00300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</w:pPr>
            <w:r w:rsidRPr="00574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104A57" w:rsidRPr="0051202A" w:rsidTr="00755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0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6B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463"/>
        </w:trPr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306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7.1.7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>
            <w:r w:rsidRPr="00300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</w:pPr>
            <w:r w:rsidRPr="00574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</w:pPr>
            <w:r>
              <w:t>**</w:t>
            </w:r>
          </w:p>
        </w:tc>
      </w:tr>
      <w:tr w:rsidR="00104A57" w:rsidRPr="0051202A" w:rsidTr="00DF5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0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A82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463"/>
        </w:trPr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AB1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7.1.8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512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>
            <w:r w:rsidRPr="00300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по 30.09.2026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</w:pPr>
            <w:r w:rsidRPr="00574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4A57" w:rsidRDefault="00104A57" w:rsidP="0051202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104A57" w:rsidRPr="0051202A" w:rsidTr="00367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350"/>
        </w:trPr>
        <w:tc>
          <w:tcPr>
            <w:tcW w:w="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57" w:rsidRPr="0051202A" w:rsidTr="00C90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463"/>
        </w:trPr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1202A" w:rsidRDefault="00104A57" w:rsidP="0051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3008CC" w:rsidRDefault="00104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574286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57" w:rsidRPr="00E67365" w:rsidRDefault="00104A57" w:rsidP="00512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GoBack"/>
      <w:bookmarkEnd w:id="4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Выделяется в целях реализации </w:t>
      </w:r>
      <w:hyperlink r:id="rId23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6 статьи 168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(часть вторая).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&lt;**&gt; Компонент на тепловую энергию на горячую воду (горячее водоснабжение), поставляемую населению, организациям, приобретающим горячую воду для предоставления 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коммунальных услуг населению, установлен на уровне экономически обоснованного тарифа на тепловую энергию.</w:t>
      </w:r>
    </w:p>
    <w:p w:rsidR="0031198E" w:rsidRDefault="003119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(сноска введена </w:t>
      </w:r>
      <w:hyperlink r:id="rId24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Приказом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по тарифам и ценовой политике Ленинградской области от 17.01.2025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5-п)</w:t>
      </w:r>
    </w:p>
    <w:p w:rsidR="0051202A" w:rsidRDefault="005120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202A" w:rsidRPr="0031198E" w:rsidRDefault="0051202A" w:rsidP="005120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02A">
        <w:rPr>
          <w:rFonts w:ascii="Times New Roman" w:hAnsi="Times New Roman" w:cs="Times New Roman"/>
          <w:color w:val="000000" w:themeColor="text1"/>
          <w:sz w:val="24"/>
          <w:szCs w:val="24"/>
        </w:rPr>
        <w:t>&lt;***&gt;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Примечания: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Тарифы установлены </w:t>
      </w:r>
      <w:proofErr w:type="gram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25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индексами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2702AE" w:rsidRPr="00A54925">
        <w:rPr>
          <w:rFonts w:ascii="Times New Roman" w:hAnsi="Times New Roman" w:cs="Times New Roman"/>
          <w:color w:val="000000" w:themeColor="text1"/>
          <w:sz w:val="24"/>
          <w:szCs w:val="24"/>
        </w:rPr>
        <w:t>25 ноября 2025 года    № 3413-р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Льготные тарифы установлены в соответствии с областным </w:t>
      </w:r>
      <w:hyperlink r:id="rId26">
        <w:r w:rsidRPr="003119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7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75-оз «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2702AE">
        <w:rPr>
          <w:rFonts w:ascii="Times New Roman" w:hAnsi="Times New Roman" w:cs="Times New Roman"/>
          <w:color w:val="000000" w:themeColor="text1"/>
          <w:sz w:val="24"/>
          <w:szCs w:val="24"/>
        </w:rPr>
        <w:t>ерритории Ленинградской области»</w:t>
      </w: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31198E" w:rsidRPr="0031198E" w:rsidRDefault="00311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Компенсация выпадающих доходов </w:t>
      </w:r>
      <w:proofErr w:type="spellStart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>ресурсоснабжающих</w:t>
      </w:r>
      <w:proofErr w:type="spell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311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правовым актом Правительства Ленинградской области.</w:t>
      </w:r>
    </w:p>
    <w:p w:rsid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AE" w:rsidRDefault="002702AE" w:rsidP="002702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2702AE" w:rsidRPr="0031198E" w:rsidRDefault="002702A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8A7" w:rsidRPr="0031198E" w:rsidRDefault="00AC68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68A7" w:rsidRPr="0031198E" w:rsidSect="0031198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8E"/>
    <w:rsid w:val="00104A57"/>
    <w:rsid w:val="002702AE"/>
    <w:rsid w:val="0031198E"/>
    <w:rsid w:val="0051202A"/>
    <w:rsid w:val="009859C7"/>
    <w:rsid w:val="00A54925"/>
    <w:rsid w:val="00AC68A7"/>
    <w:rsid w:val="00B436D9"/>
    <w:rsid w:val="00D10FAA"/>
    <w:rsid w:val="00D4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9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19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19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19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9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19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19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1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20175&amp;dst=14605" TargetMode="External"/><Relationship Id="rId18" Type="http://schemas.openxmlformats.org/officeDocument/2006/relationships/hyperlink" Target="https://login.consultant.ru/link/?req=doc&amp;base=LAW&amp;n=491278&amp;dst=100006" TargetMode="External"/><Relationship Id="rId26" Type="http://schemas.openxmlformats.org/officeDocument/2006/relationships/hyperlink" Target="https://login.consultant.ru/link/?req=doc&amp;base=SPB&amp;n=2646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0175&amp;dst=14605" TargetMode="Externa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SPB&amp;n=307467&amp;dst=100005" TargetMode="External"/><Relationship Id="rId25" Type="http://schemas.openxmlformats.org/officeDocument/2006/relationships/hyperlink" Target="https://login.consultant.ru/link/?req=doc&amp;base=LAW&amp;n=491278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0119" TargetMode="External"/><Relationship Id="rId20" Type="http://schemas.openxmlformats.org/officeDocument/2006/relationships/hyperlink" Target="https://login.consultant.ru/link/?req=doc&amp;base=LAW&amp;n=520155&amp;dst=1016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24" Type="http://schemas.openxmlformats.org/officeDocument/2006/relationships/hyperlink" Target="https://login.consultant.ru/link/?req=doc&amp;base=SPB&amp;n=305439&amp;dst=10008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LAW&amp;n=520175&amp;dst=14605" TargetMode="External"/><Relationship Id="rId23" Type="http://schemas.openxmlformats.org/officeDocument/2006/relationships/hyperlink" Target="https://login.consultant.ru/link/?req=doc&amp;base=LAW&amp;n=520175&amp;dst=146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SPB&amp;n=264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91278&amp;dst=100006" TargetMode="External"/><Relationship Id="rId22" Type="http://schemas.openxmlformats.org/officeDocument/2006/relationships/hyperlink" Target="https://login.consultant.ru/link/?req=doc&amp;base=LAW&amp;n=491278&amp;dst=1000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5434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Никулина Алина Евгеньевна</dc:creator>
  <cp:lastModifiedBy>Никулина Алина Евгеньевна</cp:lastModifiedBy>
  <cp:revision>4</cp:revision>
  <dcterms:created xsi:type="dcterms:W3CDTF">2025-12-10T06:16:00Z</dcterms:created>
  <dcterms:modified xsi:type="dcterms:W3CDTF">2025-12-10T07:58:00Z</dcterms:modified>
</cp:coreProperties>
</file>