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 _____________________202</w:t>
      </w:r>
      <w:r>
        <w:rPr>
          <w:rFonts w:ascii="Times New Roman" w:hAnsi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 года № 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Об утверждении перечня региональных мер поддержки участников добровольческой (волонтерской) деятельности</w:t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uppressLineNumber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соответствии с пунктом 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статьи 17.4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 августа 1995 г. № 135-ФЗ «О благотворительной деятельности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добровольчестве (волонтерстве)» (далее – 135-ФЗ)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подпунктом 3 пункта 3 статьи 4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бластного закона Ленинградской области от 29.12.2018 № 162-оз «О регулировании отдельных вопросов в сфере добровольчества (волонтерства) в Ленинградской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Правительство Ленинградской области постановляет: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uppressLineNumber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Утвердить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еречень региональных мер поддержки участников добровольческой (волонтерской) деятельности (далее – Перечень)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suppressLineNumber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 Органам исполнительной власти Ленинградской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обеспечить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предоставление мер поддержки участник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добровольческой (волонтерской) деятельности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закрепленных Перечнем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712"/>
        <w:suppressLineNumber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Определить комитет по молодежной политике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уполномоченным органом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размещению информации о предоставляемых мерах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поддержки, закрепленных Перечнем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единой информационной системе в сфере развития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добровольчества (волонтерства)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срок до 30 декабря 2025 года, </w:t>
        <w:br/>
        <w:t xml:space="preserve">далее – не позднее 10 рабочих дней с даты внесения изменения в Перечень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12"/>
        <w:suppressLineNumbers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Контроль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исполнением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вице-губернатора Ленинградской области по внутренней политике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712"/>
        <w:suppressLineNumbers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Настоящее постановление вступает в силу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даты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74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Губернатор Ленинградской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Дрозденко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2"/>
        <w:jc w:val="lef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Исп.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Тарасова Н.А.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8(812)539-42-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50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after="0" w:line="240" w:lineRule="auto"/>
        <w:jc w:val="left"/>
        <w:rPr>
          <w:rFonts w:ascii="Times New Roman" w:hAnsi="Times New Roman" w:eastAsia="Times New Roman"/>
          <w:sz w:val="24"/>
          <w:szCs w:val="24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539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spacing w:after="0" w:line="240" w:lineRule="auto"/>
        <w:ind w:left="10915"/>
        <w:contextualSpacing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УТВЕРЖДЕН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spacing w:after="0" w:line="240" w:lineRule="auto"/>
        <w:ind w:left="10915"/>
        <w:contextualSpacing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постановлением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spacing w:after="0" w:line="240" w:lineRule="auto"/>
        <w:ind w:left="10915"/>
        <w:contextualSpacing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Правительства Ленинградской области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spacing w:after="0" w:line="240" w:lineRule="auto"/>
        <w:ind w:left="10915"/>
        <w:contextualSpacing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 xml:space="preserve">от _</w:t>
      </w:r>
      <w:r>
        <w:rPr>
          <w:rFonts w:ascii="Times New Roman" w:hAnsi="Times New Roman"/>
          <w:sz w:val="28"/>
          <w:highlight w:val="white"/>
        </w:rPr>
        <w:t xml:space="preserve">___________</w:t>
      </w:r>
      <w:r>
        <w:rPr>
          <w:rFonts w:ascii="Times New Roman" w:hAnsi="Times New Roman"/>
          <w:sz w:val="28"/>
          <w:highlight w:val="white"/>
        </w:rPr>
        <w:t xml:space="preserve">_ №</w:t>
      </w:r>
      <w:r>
        <w:rPr>
          <w:rFonts w:ascii="Times New Roman" w:hAnsi="Times New Roman"/>
          <w:sz w:val="28"/>
          <w:highlight w:val="white"/>
        </w:rPr>
        <w:t xml:space="preserve"> ______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spacing w:after="0" w:line="240" w:lineRule="auto"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ПЕРЕЧЕНЬ</w:t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региональных мер поддержки участников добровольческой (волонтерской) деятельности</w:t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jc w:val="center"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</w:r>
      <w:r>
        <w:rPr>
          <w:rFonts w:ascii="Times New Roman" w:hAnsi="Times New Roman"/>
          <w:b/>
          <w:sz w:val="20"/>
          <w:highlight w:val="white"/>
        </w:rPr>
      </w:r>
      <w:r>
        <w:rPr>
          <w:rFonts w:ascii="Times New Roman" w:hAnsi="Times New Roman"/>
          <w:b/>
          <w:sz w:val="20"/>
          <w:highlight w:val="white"/>
        </w:rPr>
      </w:r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8505"/>
        <w:gridCol w:w="6096"/>
      </w:tblGrid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п/п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Описание меры поддержки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Органы и организации, ответственные за предоставление мер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поддержки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участников добровольческой (волонтерской) деятельности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blPrEx/>
        <w:tc>
          <w:tcPr>
            <w:tcW w:w="15230" w:type="dxa"/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numPr>
                <w:numId w:val="19"/>
                <w:ilvl w:val="0"/>
              </w:num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Финансовая поддержка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1.1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Конкурс Губернатора Ленинградской области по поддержке молодежных инициатив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>
          <w:trHeight w:val="764"/>
        </w:trPr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1.2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Премии Губернатора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Ленинградской области для поддержки талантливой молодежи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 xml:space="preserve">Комитет по молодежной политике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r>
          </w:p>
        </w:tc>
      </w:tr>
      <w:tr>
        <w:trPr>
          <w:trHeight w:val="581"/>
        </w:trPr>
        <w:tblPrEx/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1.3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ранты в форме субсидий из областного бюджета Ленинградской области социально ориентированным некоммерческим организациям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Комитет общественных коммуникаций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r>
          </w:p>
        </w:tc>
      </w:tr>
      <w:tr>
        <w:trPr/>
        <w:tblPrEx/>
        <w:tc>
          <w:tcPr>
            <w:tcW w:w="15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numPr>
                <w:numId w:val="19"/>
                <w:ilvl w:val="0"/>
              </w:numPr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Организационная поддержка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2.1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Участие добровольцев (волонтеров) во всероссийских,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межрегиональных и областных мероприятиях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Ленинградской области, государственное бюджетное учреждение Ленинградской области «Ресурсный добровольческий центр»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2.2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Оказание содействия организаторам добровольческой деятельности волонтерской)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деятельности в планировании, координации и работы добровольческого (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волонетрского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) корпуса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Ленинградской области,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государственное бюджетное учреждение Ленинградской области «Ресурсный добровольческий центр»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2.3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Оказание содействия добровольцам (волонтерам) и организаторам добровольческой (волонтерской) деятельности в организации и реализации проектов в сфере развития добровольчества (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волонтерства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)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Ленинградской области, г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осударственное бюджетное учреждение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«Ресурсный добровольческий центр»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2.4.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Организация онлайн курсов для координаторов (волонтеров) курсов (лекций/программ) по работе в сфере добровольчества и технологиям работы с добровольцами (волонтерами)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Государственное бюджетное учреждение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«Ресурсный добровольческий центр»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2.5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Награждение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аградой Ленинградской области –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знаком отличия Ленинградской области «За вклад в развитие добровольческого движения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Ленинградской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2.6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Формирование реестра волонтерских организаций и объединений, осуществляющих свою деятельность в части поддержки военнослужащих, находящихся в зоне СВО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общественных коммуникаций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2.7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Присуждение премии Правительства Ленинградской области «Общественное признание Ленинградской области «#КОМАНДА47»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общественных коммуникаций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15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numPr>
                <w:numId w:val="19"/>
                <w:ilvl w:val="0"/>
              </w:num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Информационная поддержка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3.1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Информационная и рекламная кампания, в том числе размещены рекламные ролики на ТВ и в информационно-телекоммуникационной сети «Интернет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  <w14:ligatures w14:val="non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Комитет по печати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омитет по молодежной политике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Государственное бюджетное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учреждение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«Ресурсный добровольческий центр»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3.2.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Создание видеороликов о деятельности добровольцев (волонтерах) на территории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Государственное бюджетное учреждение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«Ресурсный добровольческий центр»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15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numPr>
                <w:numId w:val="19"/>
                <w:ilvl w:val="0"/>
              </w:num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Консультационная поддержка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4.1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Консультации для добровольцев (волонтеров) и организаторов волонтерской деятельности по работе с единой информационной системой в сфере развития добровольчества (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волонтерсва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Государственное бюджетное учреждение Ленинградской области 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«Ресурсный добровольческий центр»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4.2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Индивидуальные консультации для молодежи и молодежных общественных объединений по вопросам подачи заявок на грантовые конкурсы в сфере добровольчества (волонтерства)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Ленинградской области, г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осударственное бюджетное учреждение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«Ресурсный добровольческий центр»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4.3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Индивидуальные консультации для социально ориентированных некоммерческих организаций в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 сфере добровольчества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(волонтерства)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по вопросам подачи заявок на грантовые конкурсы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общественных коммуникаций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15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numPr>
                <w:numId w:val="19"/>
                <w:ilvl w:val="0"/>
              </w:num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Имущественная поддержка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5.1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Предоставление доступа к помещениям, находящимся в ведении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государственного органа, реализующего молодежную политику для организации и проведения мероприятий добровольческих (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волонетерских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) организаций 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Ленинградской области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15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numPr>
                <w:numId w:val="19"/>
                <w:ilvl w:val="0"/>
              </w:num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Методическая поддержка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6.1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Разработка и проведение обучающих программ, семинаров, мастер-классов для организаторов добровольческой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(волонтерской)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 деятельности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, г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осударственное бюджетное учреждение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«Ресурсный добровольческий центр»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6.2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Разработка и утверждение регламентов по организации добровольческой (волонтерской) деятельности по сферам деятельности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 Ленинградской области,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осударственное бюджетное учреждение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«Ресурсный добровольческий центр»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6.3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Разработка и тиражирование методических рекомендаций по направлениям деятельности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 Ленинградской области,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осударственное бюджетное учреждение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«Ресурсный добровольческий центр»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6.4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Предоставление инструкций, методических материалов, необходимых для выполнения конкретных добровольческих (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волонетрских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) задач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6.5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Методическое сопровождение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центров общественного развития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Добро.центр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» на территории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Ленинградской области, г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осударственное бюджетное учреждение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«Ресурсный добровольческий центр»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  <w:tr>
        <w:trPr/>
        <w:tblPrEx/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6.6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8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Методическое, информационное сопровождение в рамках реализации Всероссийской акции взаимопомощи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#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МЫВМЕСТЕ на территории Ленинградской области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  <w:tc>
          <w:tcPr>
            <w:tcW w:w="6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</w:tcPr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Комитет по молодежной политике Ленинградской области, г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осударственное бюджетное учреждение Ленинградской области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  <w:p>
            <w:pPr>
              <w:pStyle w:val="874"/>
              <w:jc w:val="center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«Ресурсный добровольческий центр»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6838" w:h="11906" w:orient="landscape"/>
      <w:pgMar w:top="709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ylfaen">
    <w:panose1 w:val="020405020504050203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6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i w:val="0"/>
        <w:iCs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4"/>
  </w:num>
  <w:num w:numId="10">
    <w:abstractNumId w:val="7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0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1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1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1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1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1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0"/>
    <w:uiPriority w:val="34"/>
    <w:qFormat/>
    <w:pPr>
      <w:ind w:left="720"/>
      <w:contextualSpacing/>
    </w:pPr>
  </w:style>
  <w:style w:type="paragraph" w:styleId="713">
    <w:name w:val="Title"/>
    <w:basedOn w:val="870"/>
    <w:next w:val="870"/>
    <w:link w:val="71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4">
    <w:name w:val="Title Char"/>
    <w:basedOn w:val="871"/>
    <w:link w:val="713"/>
    <w:uiPriority w:val="10"/>
    <w:rPr>
      <w:sz w:val="48"/>
      <w:szCs w:val="48"/>
    </w:rPr>
  </w:style>
  <w:style w:type="paragraph" w:styleId="715">
    <w:name w:val="Subtitle"/>
    <w:basedOn w:val="870"/>
    <w:next w:val="870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1"/>
    <w:link w:val="715"/>
    <w:uiPriority w:val="11"/>
    <w:rPr>
      <w:sz w:val="24"/>
      <w:szCs w:val="24"/>
    </w:rPr>
  </w:style>
  <w:style w:type="paragraph" w:styleId="717">
    <w:name w:val="Quote"/>
    <w:basedOn w:val="870"/>
    <w:next w:val="870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0"/>
    <w:next w:val="870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2">
    <w:name w:val="Header Char"/>
    <w:basedOn w:val="871"/>
    <w:link w:val="721"/>
    <w:uiPriority w:val="99"/>
  </w:style>
  <w:style w:type="paragraph" w:styleId="723">
    <w:name w:val="Footer"/>
    <w:basedOn w:val="870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Footer Char"/>
    <w:basedOn w:val="871"/>
    <w:link w:val="723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2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3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4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5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6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7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8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spacing w:after="57"/>
      <w:ind w:left="0" w:right="0" w:firstLine="0"/>
    </w:pPr>
  </w:style>
  <w:style w:type="paragraph" w:styleId="860">
    <w:name w:val="toc 2"/>
    <w:basedOn w:val="870"/>
    <w:next w:val="870"/>
    <w:uiPriority w:val="39"/>
    <w:unhideWhenUsed/>
    <w:pPr>
      <w:spacing w:after="57"/>
      <w:ind w:left="283" w:right="0" w:firstLine="0"/>
    </w:pPr>
  </w:style>
  <w:style w:type="paragraph" w:styleId="861">
    <w:name w:val="toc 3"/>
    <w:basedOn w:val="870"/>
    <w:next w:val="870"/>
    <w:uiPriority w:val="39"/>
    <w:unhideWhenUsed/>
    <w:pPr>
      <w:spacing w:after="57"/>
      <w:ind w:left="567" w:right="0" w:firstLine="0"/>
    </w:pPr>
  </w:style>
  <w:style w:type="paragraph" w:styleId="862">
    <w:name w:val="toc 4"/>
    <w:basedOn w:val="870"/>
    <w:next w:val="870"/>
    <w:uiPriority w:val="39"/>
    <w:unhideWhenUsed/>
    <w:pPr>
      <w:spacing w:after="57"/>
      <w:ind w:left="850" w:right="0" w:firstLine="0"/>
    </w:pPr>
  </w:style>
  <w:style w:type="paragraph" w:styleId="863">
    <w:name w:val="toc 5"/>
    <w:basedOn w:val="870"/>
    <w:next w:val="870"/>
    <w:uiPriority w:val="39"/>
    <w:unhideWhenUsed/>
    <w:pPr>
      <w:spacing w:after="57"/>
      <w:ind w:left="1134" w:right="0" w:firstLine="0"/>
    </w:pPr>
  </w:style>
  <w:style w:type="paragraph" w:styleId="864">
    <w:name w:val="toc 6"/>
    <w:basedOn w:val="870"/>
    <w:next w:val="870"/>
    <w:uiPriority w:val="39"/>
    <w:unhideWhenUsed/>
    <w:pPr>
      <w:spacing w:after="57"/>
      <w:ind w:left="1417" w:right="0" w:firstLine="0"/>
    </w:pPr>
  </w:style>
  <w:style w:type="paragraph" w:styleId="865">
    <w:name w:val="toc 7"/>
    <w:basedOn w:val="870"/>
    <w:next w:val="870"/>
    <w:uiPriority w:val="39"/>
    <w:unhideWhenUsed/>
    <w:pPr>
      <w:spacing w:after="57"/>
      <w:ind w:left="1701" w:right="0" w:firstLine="0"/>
    </w:pPr>
  </w:style>
  <w:style w:type="paragraph" w:styleId="866">
    <w:name w:val="toc 8"/>
    <w:basedOn w:val="870"/>
    <w:next w:val="870"/>
    <w:uiPriority w:val="39"/>
    <w:unhideWhenUsed/>
    <w:pPr>
      <w:spacing w:after="57"/>
      <w:ind w:left="1984" w:right="0" w:firstLine="0"/>
    </w:pPr>
  </w:style>
  <w:style w:type="paragraph" w:styleId="867">
    <w:name w:val="toc 9"/>
    <w:basedOn w:val="870"/>
    <w:next w:val="870"/>
    <w:uiPriority w:val="39"/>
    <w:unhideWhenUsed/>
    <w:pPr>
      <w:spacing w:after="57"/>
      <w:ind w:left="2268" w:right="0" w:firstLine="0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rPr>
      <w:rFonts w:ascii="Calibri" w:hAnsi="Calibri" w:eastAsia="Calibri" w:cs="Times New Roman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875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876">
    <w:name w:val="Strong"/>
    <w:uiPriority w:val="22"/>
    <w:qFormat/>
    <w:rPr>
      <w:b/>
      <w:bCs/>
    </w:rPr>
  </w:style>
  <w:style w:type="paragraph" w:styleId="877">
    <w:name w:val="Balloon Text"/>
    <w:basedOn w:val="870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71"/>
    <w:link w:val="877"/>
    <w:uiPriority w:val="99"/>
    <w:semiHidden/>
    <w:rPr>
      <w:rFonts w:ascii="Tahoma" w:hAnsi="Tahoma" w:eastAsia="Calibri" w:cs="Tahoma"/>
      <w:sz w:val="16"/>
      <w:szCs w:val="16"/>
    </w:rPr>
  </w:style>
  <w:style w:type="character" w:styleId="879" w:customStyle="1">
    <w:name w:val="Основной текст (2)_"/>
    <w:basedOn w:val="871"/>
    <w:link w:val="884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880" w:customStyle="1">
    <w:name w:val="Заголовок №1_"/>
    <w:basedOn w:val="871"/>
    <w:link w:val="885"/>
    <w:rPr>
      <w:rFonts w:ascii="Times New Roman" w:hAnsi="Times New Roman" w:eastAsia="Times New Roman" w:cs="Times New Roman"/>
      <w:b/>
      <w:bCs/>
      <w:spacing w:val="70"/>
      <w:sz w:val="30"/>
      <w:szCs w:val="30"/>
      <w:shd w:val="clear" w:color="auto" w:fill="ffffff"/>
    </w:rPr>
  </w:style>
  <w:style w:type="character" w:styleId="881" w:customStyle="1">
    <w:name w:val="Основной текст_"/>
    <w:basedOn w:val="871"/>
    <w:link w:val="886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82" w:customStyle="1">
    <w:name w:val="Основной текст + Курсив;Интервал -1 pt"/>
    <w:basedOn w:val="881"/>
    <w:rPr>
      <w:rFonts w:ascii="Times New Roman" w:hAnsi="Times New Roman" w:eastAsia="Times New Roman" w:cs="Times New Roman"/>
      <w:i/>
      <w:iCs/>
      <w:color w:val="000000"/>
      <w:spacing w:val="-3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styleId="883" w:customStyle="1">
    <w:name w:val="Основной текст (4)_"/>
    <w:basedOn w:val="871"/>
    <w:link w:val="887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styleId="884" w:customStyle="1">
    <w:name w:val="Основной текст (2)"/>
    <w:basedOn w:val="870"/>
    <w:link w:val="879"/>
    <w:pPr>
      <w:widowControl w:val="off"/>
      <w:shd w:val="clear" w:color="auto" w:fill="ffffff"/>
      <w:spacing w:after="360" w:line="0" w:lineRule="atLeast"/>
      <w:jc w:val="center"/>
    </w:pPr>
    <w:rPr>
      <w:rFonts w:ascii="Times New Roman" w:hAnsi="Times New Roman" w:eastAsia="Times New Roman"/>
      <w:b/>
      <w:bCs/>
      <w:sz w:val="26"/>
      <w:szCs w:val="26"/>
    </w:rPr>
  </w:style>
  <w:style w:type="paragraph" w:styleId="885" w:customStyle="1">
    <w:name w:val="Заголовок №1"/>
    <w:basedOn w:val="870"/>
    <w:link w:val="880"/>
    <w:pPr>
      <w:widowControl w:val="off"/>
      <w:shd w:val="clear" w:color="auto" w:fill="ffffff"/>
      <w:spacing w:after="0" w:line="0" w:lineRule="atLeast"/>
      <w:jc w:val="center"/>
      <w:outlineLvl w:val="0"/>
    </w:pPr>
    <w:rPr>
      <w:rFonts w:ascii="Times New Roman" w:hAnsi="Times New Roman" w:eastAsia="Times New Roman"/>
      <w:b/>
      <w:bCs/>
      <w:spacing w:val="70"/>
      <w:sz w:val="30"/>
      <w:szCs w:val="30"/>
    </w:rPr>
  </w:style>
  <w:style w:type="paragraph" w:styleId="886" w:customStyle="1">
    <w:name w:val="Основной текст1"/>
    <w:basedOn w:val="870"/>
    <w:link w:val="881"/>
    <w:pPr>
      <w:widowControl w:val="off"/>
      <w:shd w:val="clear" w:color="auto" w:fill="ffffff"/>
      <w:spacing w:after="0" w:line="0" w:lineRule="atLeast"/>
      <w:jc w:val="both"/>
    </w:pPr>
    <w:rPr>
      <w:rFonts w:ascii="Times New Roman" w:hAnsi="Times New Roman" w:eastAsia="Times New Roman"/>
      <w:sz w:val="26"/>
      <w:szCs w:val="26"/>
    </w:rPr>
  </w:style>
  <w:style w:type="paragraph" w:styleId="887" w:customStyle="1">
    <w:name w:val="Основной текст (4)"/>
    <w:basedOn w:val="870"/>
    <w:link w:val="883"/>
    <w:pPr>
      <w:widowControl w:val="off"/>
      <w:shd w:val="clear" w:color="auto" w:fill="ffffff"/>
      <w:spacing w:after="120" w:line="0" w:lineRule="atLeast"/>
    </w:pPr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888">
    <w:name w:val="Body Text"/>
    <w:basedOn w:val="870"/>
    <w:link w:val="889"/>
    <w:pPr>
      <w:widowControl w:val="off"/>
      <w:spacing w:after="0" w:line="312" w:lineRule="auto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89" w:customStyle="1">
    <w:name w:val="Основной текст Знак"/>
    <w:basedOn w:val="871"/>
    <w:link w:val="88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0" w:customStyle="1">
    <w:name w:val="Основной текст2"/>
    <w:basedOn w:val="870"/>
    <w:pPr>
      <w:widowControl w:val="off"/>
      <w:shd w:val="clear" w:color="auto" w:fill="ffffff"/>
      <w:spacing w:before="600" w:after="0" w:line="326" w:lineRule="exact"/>
      <w:ind w:hanging="880"/>
      <w:jc w:val="both"/>
    </w:pPr>
    <w:rPr>
      <w:rFonts w:ascii="Sylfaen" w:hAnsi="Sylfaen" w:eastAsia="Sylfaen" w:cs="Sylfaen"/>
      <w:spacing w:val="3"/>
    </w:rPr>
  </w:style>
  <w:style w:type="table" w:styleId="891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2">
    <w:name w:val="No Spacing"/>
    <w:uiPriority w:val="1"/>
    <w:qFormat/>
    <w:pPr>
      <w:widowControl w:val="off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styleId="893">
    <w:name w:val="annotation reference"/>
    <w:basedOn w:val="871"/>
    <w:uiPriority w:val="99"/>
    <w:semiHidden/>
    <w:unhideWhenUsed/>
    <w:rPr>
      <w:sz w:val="16"/>
      <w:szCs w:val="16"/>
    </w:rPr>
  </w:style>
  <w:style w:type="paragraph" w:styleId="894">
    <w:name w:val="annotation text"/>
    <w:basedOn w:val="870"/>
    <w:link w:val="89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5" w:customStyle="1">
    <w:name w:val="Текст примечания Знак"/>
    <w:basedOn w:val="871"/>
    <w:link w:val="894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96">
    <w:name w:val="annotation subject"/>
    <w:basedOn w:val="894"/>
    <w:next w:val="894"/>
    <w:link w:val="897"/>
    <w:uiPriority w:val="99"/>
    <w:semiHidden/>
    <w:unhideWhenUsed/>
    <w:rPr>
      <w:b/>
      <w:bCs/>
    </w:rPr>
  </w:style>
  <w:style w:type="character" w:styleId="897" w:customStyle="1">
    <w:name w:val="Тема примечания Знак"/>
    <w:basedOn w:val="895"/>
    <w:link w:val="896"/>
    <w:uiPriority w:val="99"/>
    <w:semiHidden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3951-09A0-4541-90DB-3F6F1785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Герман Юрьевич Сакс</dc:creator>
  <cp:lastModifiedBy>nal_tarasova</cp:lastModifiedBy>
  <cp:revision>18</cp:revision>
  <dcterms:created xsi:type="dcterms:W3CDTF">2025-03-07T13:09:00Z</dcterms:created>
  <dcterms:modified xsi:type="dcterms:W3CDTF">2025-12-10T11:43:39Z</dcterms:modified>
</cp:coreProperties>
</file>