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8C6EB6" w:rsidRDefault="001C3295" w:rsidP="00257858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8C6EB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8C6EB6" w:rsidRDefault="001C3295" w:rsidP="00257858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8C6EB6" w:rsidRDefault="001C3295" w:rsidP="0025785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8C6EB6" w:rsidRDefault="00B76889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                 </w:t>
      </w:r>
      <w:r w:rsidR="00416D49" w:rsidRPr="008C6EB6">
        <w:rPr>
          <w:rFonts w:ascii="Times New Roman" w:hAnsi="Times New Roman" w:cs="Times New Roman"/>
          <w:sz w:val="24"/>
          <w:szCs w:val="24"/>
        </w:rPr>
        <w:t>202</w:t>
      </w:r>
      <w:r w:rsidR="006672F4">
        <w:rPr>
          <w:rFonts w:ascii="Times New Roman" w:hAnsi="Times New Roman" w:cs="Times New Roman"/>
          <w:sz w:val="24"/>
          <w:szCs w:val="24"/>
        </w:rPr>
        <w:t>5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8C6EB6">
        <w:rPr>
          <w:rFonts w:ascii="Times New Roman" w:hAnsi="Times New Roman" w:cs="Times New Roman"/>
          <w:sz w:val="24"/>
          <w:szCs w:val="24"/>
        </w:rPr>
        <w:t>№</w:t>
      </w:r>
      <w:r w:rsidR="00282748" w:rsidRPr="008C6EB6">
        <w:rPr>
          <w:rFonts w:ascii="Times New Roman" w:hAnsi="Times New Roman" w:cs="Times New Roman"/>
          <w:sz w:val="24"/>
          <w:szCs w:val="24"/>
        </w:rPr>
        <w:t>_______</w:t>
      </w:r>
      <w:r w:rsidR="00CB42C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8C6E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8C6EB6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321E" w:rsidRDefault="009E181C" w:rsidP="009E1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19 декабря 2025 года № 508-п «</w:t>
      </w:r>
      <w:bookmarkStart w:id="0" w:name="_GoBack"/>
      <w:r w:rsidR="00C63405" w:rsidRPr="008C6EB6"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r w:rsidR="00CE1406" w:rsidRPr="008C6EB6">
        <w:rPr>
          <w:rFonts w:ascii="Times New Roman" w:hAnsi="Times New Roman" w:cs="Times New Roman"/>
          <w:b/>
          <w:sz w:val="24"/>
          <w:szCs w:val="24"/>
        </w:rPr>
        <w:t>регулируемых</w:t>
      </w:r>
      <w:r w:rsidR="00CA573F" w:rsidRPr="008C6EB6">
        <w:rPr>
          <w:rFonts w:ascii="Times New Roman" w:hAnsi="Times New Roman" w:cs="Times New Roman"/>
          <w:b/>
          <w:sz w:val="24"/>
          <w:szCs w:val="24"/>
        </w:rPr>
        <w:t xml:space="preserve"> тарифов на перевозки пассажиров и багажа автомобильным транспортом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12095" w:rsidRPr="008C6EB6">
        <w:rPr>
          <w:rFonts w:ascii="Times New Roman" w:hAnsi="Times New Roman" w:cs="Times New Roman"/>
          <w:b/>
          <w:sz w:val="24"/>
          <w:szCs w:val="24"/>
        </w:rPr>
        <w:t>муниципальным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5B4" w:rsidRPr="008C6EB6">
        <w:rPr>
          <w:rFonts w:ascii="Times New Roman" w:hAnsi="Times New Roman" w:cs="Times New Roman"/>
          <w:b/>
          <w:sz w:val="24"/>
          <w:szCs w:val="24"/>
        </w:rPr>
        <w:t>маршрутам регулярных перевозок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949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границах муниципального образования </w:t>
      </w:r>
      <w:r w:rsidR="00217971">
        <w:rPr>
          <w:rFonts w:ascii="Times New Roman" w:hAnsi="Times New Roman" w:cs="Times New Roman"/>
          <w:b/>
          <w:bCs/>
          <w:iCs/>
          <w:sz w:val="24"/>
          <w:szCs w:val="24"/>
        </w:rPr>
        <w:t>Лужский</w:t>
      </w:r>
      <w:r w:rsidR="00F21F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муниципальный район</w:t>
      </w:r>
      <w:r w:rsidR="001158F0" w:rsidRPr="001158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Ленинградской области</w:t>
      </w:r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A95AB6" w:rsidRPr="008C6EB6" w:rsidRDefault="00A95AB6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2CB" w:rsidRPr="008C6EB6" w:rsidRDefault="003255B4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C6EB6">
        <w:rPr>
          <w:rFonts w:ascii="Times New Roman" w:hAnsi="Times New Roman" w:cs="Times New Roman"/>
          <w:sz w:val="24"/>
          <w:szCs w:val="24"/>
        </w:rPr>
        <w:t>2015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220-ФЗ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Pr="008C6EB6">
        <w:rPr>
          <w:rFonts w:ascii="Times New Roman" w:hAnsi="Times New Roman" w:cs="Times New Roman"/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8C6EB6">
        <w:rPr>
          <w:rFonts w:ascii="Times New Roman" w:hAnsi="Times New Roman" w:cs="Times New Roman"/>
          <w:sz w:val="24"/>
          <w:szCs w:val="24"/>
        </w:rPr>
        <w:t xml:space="preserve">2015 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1868B4" w:rsidRPr="008C6E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58F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8C6EB6">
        <w:rPr>
          <w:rFonts w:ascii="Times New Roman" w:hAnsi="Times New Roman" w:cs="Times New Roman"/>
          <w:sz w:val="24"/>
          <w:szCs w:val="24"/>
        </w:rPr>
        <w:t xml:space="preserve">оложением о комитете по тарифам </w:t>
      </w:r>
      <w:r w:rsidRPr="008C6EB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8C6EB6">
        <w:rPr>
          <w:rFonts w:ascii="Times New Roman" w:hAnsi="Times New Roman" w:cs="Times New Roman"/>
          <w:sz w:val="24"/>
          <w:szCs w:val="24"/>
        </w:rPr>
        <w:t>2013</w:t>
      </w:r>
      <w:r w:rsidR="00123A6B" w:rsidRPr="008C6EB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C6EB6">
        <w:rPr>
          <w:rFonts w:ascii="Times New Roman" w:hAnsi="Times New Roman" w:cs="Times New Roman"/>
          <w:sz w:val="24"/>
          <w:szCs w:val="24"/>
        </w:rPr>
        <w:t xml:space="preserve"> № 27</w:t>
      </w:r>
      <w:r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03E11" w:rsidRPr="002618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E73E3">
        <w:rPr>
          <w:color w:val="000000" w:themeColor="text1"/>
        </w:rPr>
        <w:t xml:space="preserve"> </w:t>
      </w:r>
      <w:r w:rsidR="00BE73E3" w:rsidRPr="00BE73E3">
        <w:rPr>
          <w:rFonts w:ascii="Times New Roman" w:hAnsi="Times New Roman" w:cs="Times New Roman"/>
          <w:color w:val="000000" w:themeColor="text1"/>
          <w:sz w:val="24"/>
        </w:rPr>
        <w:t>п</w:t>
      </w:r>
      <w:r w:rsidR="00BE73E3" w:rsidRPr="00BE73E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 w:rsidR="00217971">
        <w:rPr>
          <w:rFonts w:ascii="Times New Roman" w:hAnsi="Times New Roman" w:cs="Times New Roman"/>
          <w:sz w:val="24"/>
          <w:szCs w:val="24"/>
        </w:rPr>
        <w:t>Лужского</w:t>
      </w:r>
      <w:r w:rsidR="00BE73E3" w:rsidRPr="00BE73E3"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="00217971">
        <w:rPr>
          <w:rFonts w:ascii="Times New Roman" w:hAnsi="Times New Roman" w:cs="Times New Roman"/>
          <w:sz w:val="24"/>
          <w:szCs w:val="24"/>
        </w:rPr>
        <w:t>енинградской области от 09 июня</w:t>
      </w:r>
      <w:r w:rsidR="00BE73E3">
        <w:rPr>
          <w:rFonts w:ascii="Times New Roman" w:hAnsi="Times New Roman" w:cs="Times New Roman"/>
          <w:sz w:val="24"/>
          <w:szCs w:val="24"/>
        </w:rPr>
        <w:t xml:space="preserve"> </w:t>
      </w:r>
      <w:r w:rsidR="00BE73E3" w:rsidRPr="00BE73E3">
        <w:rPr>
          <w:rFonts w:ascii="Times New Roman" w:hAnsi="Times New Roman" w:cs="Times New Roman"/>
          <w:sz w:val="24"/>
          <w:szCs w:val="24"/>
        </w:rPr>
        <w:t>202</w:t>
      </w:r>
      <w:r w:rsidR="00217971">
        <w:rPr>
          <w:rFonts w:ascii="Times New Roman" w:hAnsi="Times New Roman" w:cs="Times New Roman"/>
          <w:sz w:val="24"/>
          <w:szCs w:val="24"/>
        </w:rPr>
        <w:t>2</w:t>
      </w:r>
      <w:r w:rsidR="00BE73E3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7971">
        <w:rPr>
          <w:rFonts w:ascii="Times New Roman" w:hAnsi="Times New Roman" w:cs="Times New Roman"/>
          <w:sz w:val="24"/>
          <w:szCs w:val="24"/>
        </w:rPr>
        <w:t xml:space="preserve"> №</w:t>
      </w:r>
      <w:r w:rsidR="00217971" w:rsidRPr="00217971">
        <w:t xml:space="preserve"> </w:t>
      </w:r>
      <w:r w:rsidR="00217971" w:rsidRPr="00217971">
        <w:rPr>
          <w:rFonts w:ascii="Times New Roman" w:hAnsi="Times New Roman" w:cs="Times New Roman"/>
          <w:sz w:val="24"/>
          <w:szCs w:val="24"/>
        </w:rPr>
        <w:t>1783</w:t>
      </w:r>
      <w:r w:rsidR="000F27FB">
        <w:rPr>
          <w:rFonts w:ascii="Times New Roman" w:hAnsi="Times New Roman" w:cs="Times New Roman"/>
          <w:sz w:val="24"/>
          <w:szCs w:val="24"/>
        </w:rPr>
        <w:t xml:space="preserve"> «</w:t>
      </w:r>
      <w:r w:rsidR="000F27FB" w:rsidRPr="000F27FB">
        <w:rPr>
          <w:rFonts w:ascii="Times New Roman" w:hAnsi="Times New Roman" w:cs="Times New Roman"/>
          <w:sz w:val="24"/>
          <w:szCs w:val="24"/>
        </w:rPr>
        <w:t>Об утверждении реестра муниципальных маршрутов регулярных перевозок по регулируемым тарифам автомобильным транспортом на территории Лужского муниципального района Ленинградской области</w:t>
      </w:r>
      <w:r w:rsidR="000F27FB">
        <w:rPr>
          <w:rFonts w:ascii="Times New Roman" w:hAnsi="Times New Roman" w:cs="Times New Roman"/>
          <w:sz w:val="24"/>
          <w:szCs w:val="24"/>
        </w:rPr>
        <w:t>»</w:t>
      </w:r>
      <w:r w:rsidR="00217971" w:rsidRPr="00217971">
        <w:rPr>
          <w:rFonts w:ascii="Times New Roman" w:hAnsi="Times New Roman" w:cs="Times New Roman"/>
          <w:sz w:val="24"/>
          <w:szCs w:val="24"/>
        </w:rPr>
        <w:t xml:space="preserve"> </w:t>
      </w:r>
      <w:r w:rsidR="00217971">
        <w:rPr>
          <w:rFonts w:ascii="Times New Roman" w:hAnsi="Times New Roman" w:cs="Times New Roman"/>
          <w:sz w:val="24"/>
          <w:szCs w:val="24"/>
        </w:rPr>
        <w:t>(в ред. постановления администрации Лужского муниципального района Ленинградской области от 01 апреля 2025 года № 963 «</w:t>
      </w:r>
      <w:r w:rsidR="00217971" w:rsidRPr="00217971">
        <w:rPr>
          <w:rFonts w:ascii="Times New Roman" w:hAnsi="Times New Roman" w:cs="Times New Roman"/>
          <w:sz w:val="24"/>
          <w:szCs w:val="24"/>
        </w:rPr>
        <w:t>О внесении изм</w:t>
      </w:r>
      <w:r w:rsidR="000F27FB">
        <w:rPr>
          <w:rFonts w:ascii="Times New Roman" w:hAnsi="Times New Roman" w:cs="Times New Roman"/>
          <w:sz w:val="24"/>
          <w:szCs w:val="24"/>
        </w:rPr>
        <w:t xml:space="preserve">енений в постановление от 09 июня </w:t>
      </w:r>
      <w:r w:rsidR="00217971" w:rsidRPr="00217971">
        <w:rPr>
          <w:rFonts w:ascii="Times New Roman" w:hAnsi="Times New Roman" w:cs="Times New Roman"/>
          <w:sz w:val="24"/>
          <w:szCs w:val="24"/>
        </w:rPr>
        <w:t>2022</w:t>
      </w:r>
      <w:r w:rsidR="000F27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7971" w:rsidRPr="00217971">
        <w:rPr>
          <w:rFonts w:ascii="Times New Roman" w:hAnsi="Times New Roman" w:cs="Times New Roman"/>
          <w:sz w:val="24"/>
          <w:szCs w:val="24"/>
        </w:rPr>
        <w:t xml:space="preserve"> № 1783</w:t>
      </w:r>
      <w:r w:rsidR="00217971">
        <w:rPr>
          <w:rFonts w:ascii="Times New Roman" w:hAnsi="Times New Roman" w:cs="Times New Roman"/>
          <w:sz w:val="24"/>
          <w:szCs w:val="24"/>
        </w:rPr>
        <w:t xml:space="preserve">») </w:t>
      </w:r>
      <w:r w:rsidR="00282748" w:rsidRPr="008C6EB6">
        <w:rPr>
          <w:rFonts w:ascii="Times New Roman" w:hAnsi="Times New Roman" w:cs="Times New Roman"/>
          <w:sz w:val="24"/>
          <w:szCs w:val="24"/>
        </w:rPr>
        <w:t>и</w:t>
      </w:r>
      <w:r w:rsidR="00A60C71">
        <w:rPr>
          <w:rFonts w:ascii="Times New Roman" w:hAnsi="Times New Roman" w:cs="Times New Roman"/>
          <w:sz w:val="24"/>
          <w:szCs w:val="24"/>
        </w:rPr>
        <w:t xml:space="preserve"> на основании протокола </w:t>
      </w:r>
      <w:r w:rsidR="00C63405" w:rsidRPr="008C6EB6">
        <w:rPr>
          <w:rFonts w:ascii="Times New Roman" w:hAnsi="Times New Roman" w:cs="Times New Roman"/>
          <w:sz w:val="24"/>
          <w:szCs w:val="24"/>
        </w:rPr>
        <w:t>заседания правления комитета по тарифам и ценовой</w:t>
      </w:r>
      <w:r w:rsidR="00A60C71">
        <w:rPr>
          <w:rFonts w:ascii="Times New Roman" w:hAnsi="Times New Roman" w:cs="Times New Roman"/>
          <w:sz w:val="24"/>
          <w:szCs w:val="24"/>
        </w:rPr>
        <w:t xml:space="preserve"> политике Ленинградской области </w:t>
      </w:r>
      <w:r w:rsidR="002179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74430" w:rsidRPr="008C6EB6">
        <w:rPr>
          <w:rFonts w:ascii="Times New Roman" w:hAnsi="Times New Roman" w:cs="Times New Roman"/>
          <w:sz w:val="24"/>
          <w:szCs w:val="24"/>
        </w:rPr>
        <w:t>от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B76889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6B4B8B" w:rsidRPr="008C6EB6">
        <w:rPr>
          <w:rFonts w:ascii="Times New Roman" w:hAnsi="Times New Roman" w:cs="Times New Roman"/>
          <w:sz w:val="24"/>
          <w:szCs w:val="24"/>
        </w:rPr>
        <w:t>20</w:t>
      </w:r>
      <w:r w:rsidR="00416D49" w:rsidRPr="008C6EB6">
        <w:rPr>
          <w:rFonts w:ascii="Times New Roman" w:hAnsi="Times New Roman" w:cs="Times New Roman"/>
          <w:sz w:val="24"/>
          <w:szCs w:val="24"/>
        </w:rPr>
        <w:t>2</w:t>
      </w:r>
      <w:r w:rsidR="00BA5B56">
        <w:rPr>
          <w:rFonts w:ascii="Times New Roman" w:hAnsi="Times New Roman" w:cs="Times New Roman"/>
          <w:sz w:val="24"/>
          <w:szCs w:val="24"/>
        </w:rPr>
        <w:t>5</w:t>
      </w:r>
      <w:r w:rsidR="007800D2" w:rsidRPr="008C6EB6">
        <w:rPr>
          <w:rFonts w:ascii="Times New Roman" w:hAnsi="Times New Roman" w:cs="Times New Roman"/>
          <w:sz w:val="24"/>
          <w:szCs w:val="24"/>
        </w:rPr>
        <w:t xml:space="preserve"> </w:t>
      </w:r>
      <w:r w:rsidR="00586EF1" w:rsidRPr="008C6EB6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00D2" w:rsidRPr="008C6EB6">
        <w:rPr>
          <w:rFonts w:ascii="Times New Roman" w:hAnsi="Times New Roman" w:cs="Times New Roman"/>
          <w:sz w:val="24"/>
          <w:szCs w:val="24"/>
        </w:rPr>
        <w:t>№</w:t>
      </w:r>
      <w:r w:rsidR="00B76889">
        <w:rPr>
          <w:rFonts w:ascii="Times New Roman" w:hAnsi="Times New Roman" w:cs="Times New Roman"/>
          <w:sz w:val="24"/>
          <w:szCs w:val="24"/>
        </w:rPr>
        <w:t xml:space="preserve"> ____</w:t>
      </w:r>
      <w:r w:rsidR="00A74430" w:rsidRPr="008C6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EB6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8C6EB6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A95AB6" w:rsidRDefault="009E181C" w:rsidP="009E181C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6776C8">
        <w:rPr>
          <w:sz w:val="24"/>
          <w:szCs w:val="24"/>
        </w:rPr>
        <w:t>Внести в приказ комитета по тарифам и ценовой поли</w:t>
      </w:r>
      <w:r>
        <w:rPr>
          <w:sz w:val="24"/>
          <w:szCs w:val="24"/>
        </w:rPr>
        <w:t>тике Ленинградской области             от 19 декабря 2025 № 508</w:t>
      </w:r>
      <w:r w:rsidRPr="006776C8">
        <w:rPr>
          <w:sz w:val="24"/>
          <w:szCs w:val="24"/>
        </w:rPr>
        <w:t>-п «</w:t>
      </w:r>
      <w:r w:rsidRPr="009E181C">
        <w:rPr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Лужский муниципальный район Ленинградской области</w:t>
      </w:r>
      <w:r w:rsidRPr="006776C8">
        <w:rPr>
          <w:sz w:val="24"/>
          <w:szCs w:val="24"/>
        </w:rPr>
        <w:t>»</w:t>
      </w:r>
      <w:r>
        <w:rPr>
          <w:sz w:val="24"/>
          <w:szCs w:val="24"/>
        </w:rPr>
        <w:t xml:space="preserve"> следующие </w:t>
      </w:r>
      <w:r w:rsidRPr="00326392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</w:p>
    <w:p w:rsidR="00CB42CB" w:rsidRDefault="009E181C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9E181C">
        <w:rPr>
          <w:sz w:val="24"/>
          <w:szCs w:val="24"/>
        </w:rPr>
        <w:t>таблицу приложения изложить в редакции, приведенной в приложении к настоящему приказу;</w:t>
      </w:r>
    </w:p>
    <w:p w:rsidR="00460311" w:rsidRDefault="00460311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в пункте 1 примечания к таблице приложения слова «пунктами 1,2,6» заменить </w:t>
      </w:r>
      <w:r w:rsidR="0043382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на «пунктом 1»;</w:t>
      </w:r>
    </w:p>
    <w:p w:rsidR="00460311" w:rsidRDefault="00460311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4603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2 примечания к таблице приложения слова «пунктами 3,4» заменить </w:t>
      </w:r>
      <w:r w:rsidR="00433826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на «пунктом 2»;</w:t>
      </w:r>
    </w:p>
    <w:p w:rsidR="00460311" w:rsidRDefault="00460311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 в пункте 4 примечания к таблице приложения слова «пунктами 1,2,6» заменить на «пунктом 1»</w:t>
      </w:r>
    </w:p>
    <w:p w:rsidR="00460311" w:rsidRDefault="00433826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460311">
        <w:rPr>
          <w:sz w:val="24"/>
          <w:szCs w:val="24"/>
        </w:rPr>
        <w:t xml:space="preserve"> в пункте 4 примечания к таблице приложения цифры «39,00» заменить на цифры «41,00»;</w:t>
      </w:r>
    </w:p>
    <w:p w:rsidR="00433826" w:rsidRDefault="00433826" w:rsidP="009E181C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1.6 в пункте 5 примечания к таблице слова «пунктом 4» заменить на «пунктом 3»;</w:t>
      </w:r>
    </w:p>
    <w:p w:rsidR="00433826" w:rsidRDefault="00433826" w:rsidP="004779A2">
      <w:pPr>
        <w:pStyle w:val="ac"/>
        <w:tabs>
          <w:tab w:val="left" w:pos="1134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779A2" w:rsidRPr="00BF5737">
        <w:rPr>
          <w:sz w:val="24"/>
          <w:szCs w:val="24"/>
        </w:rPr>
        <w:t>Настоящий приказ вступает в силу в установленном порядке.</w:t>
      </w:r>
    </w:p>
    <w:p w:rsidR="00841008" w:rsidRDefault="00841008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4779A2" w:rsidRPr="008C6EB6" w:rsidRDefault="004779A2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6D49" w:rsidRPr="008C6EB6" w:rsidRDefault="00416D49" w:rsidP="00416D49">
      <w:pPr>
        <w:widowControl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8C6EB6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06004B" w:rsidRDefault="00416D49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</w:t>
      </w:r>
      <w:r w:rsidR="009464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44D8F">
        <w:rPr>
          <w:rFonts w:ascii="Times New Roman" w:hAnsi="Times New Roman" w:cs="Times New Roman"/>
          <w:sz w:val="24"/>
          <w:szCs w:val="24"/>
        </w:rPr>
        <w:t xml:space="preserve">   </w:t>
      </w:r>
      <w:r w:rsidR="009464C0">
        <w:rPr>
          <w:rFonts w:ascii="Times New Roman" w:hAnsi="Times New Roman" w:cs="Times New Roman"/>
          <w:sz w:val="24"/>
          <w:szCs w:val="24"/>
        </w:rPr>
        <w:t xml:space="preserve">  </w:t>
      </w:r>
      <w:r w:rsidRPr="008C6EB6">
        <w:rPr>
          <w:rFonts w:ascii="Times New Roman" w:hAnsi="Times New Roman" w:cs="Times New Roman"/>
          <w:sz w:val="24"/>
          <w:szCs w:val="24"/>
        </w:rPr>
        <w:t xml:space="preserve">  </w:t>
      </w:r>
      <w:r w:rsidR="00B76889">
        <w:rPr>
          <w:rFonts w:ascii="Times New Roman" w:hAnsi="Times New Roman" w:cs="Times New Roman"/>
          <w:sz w:val="24"/>
          <w:szCs w:val="24"/>
        </w:rPr>
        <w:t xml:space="preserve">  </w:t>
      </w:r>
      <w:r w:rsidR="00844D8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44D8F">
        <w:rPr>
          <w:rFonts w:ascii="Times New Roman" w:hAnsi="Times New Roman" w:cs="Times New Roman"/>
          <w:sz w:val="24"/>
          <w:szCs w:val="24"/>
        </w:rPr>
        <w:t>.Н. Степанова</w:t>
      </w: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779A2" w:rsidRPr="008C6EB6" w:rsidRDefault="003C6098" w:rsidP="004779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3C6098" w:rsidRPr="008C6EB6" w:rsidRDefault="003C6098" w:rsidP="0041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3C6098" w:rsidRPr="008C6EB6" w:rsidTr="003C6098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586521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комитета по тарифам и ценовой</w:t>
            </w:r>
          </w:p>
          <w:p w:rsidR="003C6098" w:rsidRPr="008C6EB6" w:rsidRDefault="003C6098" w:rsidP="0058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политике Ленинградской области</w:t>
            </w:r>
          </w:p>
          <w:p w:rsidR="003C6098" w:rsidRPr="008C6EB6" w:rsidRDefault="003C6098" w:rsidP="0071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8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                 </w:t>
            </w:r>
            <w:r w:rsidR="00282748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EB6"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A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716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8C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4837" w:rsidRDefault="00614837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C71" w:rsidRDefault="00A60C71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C71" w:rsidRDefault="00A60C71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C71" w:rsidRDefault="00A60C71" w:rsidP="00765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9A2" w:rsidRDefault="004779A2" w:rsidP="004779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9A2" w:rsidRPr="004779A2" w:rsidRDefault="004779A2" w:rsidP="004779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E1406" w:rsidRPr="008C6EB6" w:rsidRDefault="003C6098" w:rsidP="0032573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Предельные </w:t>
      </w:r>
      <w:r w:rsidR="00614837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максимальные </w:t>
      </w:r>
      <w:r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на перевозки пассажиров и багажа автомобильным транспортом по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муниципальным маршрутам регулярных перевозок в границах </w:t>
      </w:r>
      <w:r w:rsidR="006D2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107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Лужский </w:t>
      </w:r>
      <w:r w:rsidR="00BE73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район</w:t>
      </w:r>
      <w:r w:rsidR="00716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58B8" w:rsidRPr="008C6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992526" w:rsidRPr="008C6EB6" w:rsidRDefault="00992526" w:rsidP="00432222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5062"/>
        <w:gridCol w:w="1880"/>
        <w:gridCol w:w="2567"/>
      </w:tblGrid>
      <w:tr w:rsidR="00F21FE6" w:rsidRPr="00942B49" w:rsidTr="00F21FE6">
        <w:trPr>
          <w:trHeight w:val="679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E6" w:rsidRPr="00F21FE6" w:rsidRDefault="00F21FE6" w:rsidP="00F21FE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Единица измерения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</w:rPr>
            </w:pPr>
            <w:r w:rsidRPr="00F21FE6">
              <w:rPr>
                <w:rFonts w:ascii="Times New Roman" w:hAnsi="Times New Roman" w:cs="Times New Roman"/>
                <w:bCs/>
              </w:rPr>
              <w:t>Предельный максимальный тариф</w:t>
            </w:r>
          </w:p>
        </w:tc>
      </w:tr>
      <w:tr w:rsidR="00F21FE6" w:rsidRPr="00942B49" w:rsidTr="00F21FE6">
        <w:trPr>
          <w:trHeight w:val="273"/>
          <w:jc w:val="center"/>
        </w:trPr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0"/>
                <w:tab w:val="left" w:pos="74"/>
              </w:tabs>
              <w:ind w:right="-29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4" w:space="0" w:color="auto"/>
            </w:tcBorders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21FE6" w:rsidRPr="00942B49" w:rsidTr="00F21FE6">
        <w:trPr>
          <w:trHeight w:val="721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-245"/>
                <w:tab w:val="left" w:pos="74"/>
              </w:tabs>
              <w:ind w:right="-29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460311" w:rsidP="00FD170D">
            <w:pPr>
              <w:tabs>
                <w:tab w:val="left" w:pos="0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460311">
              <w:rPr>
                <w:rFonts w:ascii="Times New Roman" w:hAnsi="Times New Roman" w:cs="Times New Roman"/>
                <w:bCs/>
              </w:rPr>
              <w:t>Перевозка пассажиров по маршрутам в границах Лужского муниципального района Ленинградской области (за исключением участков, расположенных в пределах границ Лужского городского поселения Ленинградской области)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F21FE6">
            <w:pPr>
              <w:tabs>
                <w:tab w:val="left" w:pos="0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руб.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21FE6">
              <w:rPr>
                <w:rFonts w:ascii="Times New Roman" w:hAnsi="Times New Roman" w:cs="Times New Roman"/>
                <w:bCs/>
              </w:rPr>
              <w:t>за один километр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6A1263" w:rsidRDefault="00460311" w:rsidP="0076557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5,18</w:t>
            </w:r>
            <w:r w:rsidR="00217971" w:rsidRPr="00A878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</w:tr>
      <w:tr w:rsidR="00F21FE6" w:rsidRPr="00942B49" w:rsidTr="00F21FE6">
        <w:trPr>
          <w:trHeight w:val="525"/>
          <w:jc w:val="center"/>
        </w:trPr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F21FE6" w:rsidP="00B56290">
            <w:pPr>
              <w:tabs>
                <w:tab w:val="left" w:pos="-245"/>
              </w:tabs>
              <w:ind w:right="-293"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460311" w:rsidP="009E181C">
            <w:pPr>
              <w:tabs>
                <w:tab w:val="left" w:pos="993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460311">
              <w:rPr>
                <w:rFonts w:ascii="Times New Roman" w:hAnsi="Times New Roman" w:cs="Times New Roman"/>
                <w:bCs/>
              </w:rPr>
              <w:t>Перевозка пассажиров по маршрутам в границах Лужского городского поселения Ленинградской области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F21FE6" w:rsidRDefault="00460311" w:rsidP="00B56290">
            <w:pPr>
              <w:tabs>
                <w:tab w:val="left" w:pos="32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руб.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21FE6">
              <w:rPr>
                <w:rFonts w:ascii="Times New Roman" w:hAnsi="Times New Roman" w:cs="Times New Roman"/>
                <w:bCs/>
              </w:rPr>
              <w:t>за поездку</w:t>
            </w:r>
            <w:r>
              <w:rPr>
                <w:rFonts w:ascii="Times New Roman" w:hAnsi="Times New Roman" w:cs="Times New Roman"/>
                <w:bCs/>
              </w:rPr>
              <w:t xml:space="preserve"> (вне зависимости от дальности поездки)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E6" w:rsidRPr="006A1263" w:rsidRDefault="00460311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41,00</w:t>
            </w:r>
          </w:p>
        </w:tc>
      </w:tr>
      <w:tr w:rsidR="00217971" w:rsidRPr="00942B49" w:rsidTr="00F21FE6">
        <w:trPr>
          <w:trHeight w:val="525"/>
          <w:jc w:val="center"/>
        </w:trPr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971" w:rsidRPr="00F21FE6" w:rsidRDefault="00765570" w:rsidP="00B56290">
            <w:pPr>
              <w:tabs>
                <w:tab w:val="left" w:pos="-245"/>
              </w:tabs>
              <w:ind w:right="-293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71" w:rsidRPr="00F21FE6" w:rsidRDefault="00460311" w:rsidP="00FD170D">
            <w:pPr>
              <w:tabs>
                <w:tab w:val="left" w:pos="993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460311">
              <w:rPr>
                <w:rFonts w:ascii="Times New Roman" w:hAnsi="Times New Roman" w:cs="Times New Roman"/>
                <w:bCs/>
              </w:rPr>
              <w:t>Перевозка одного места багажа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71" w:rsidRPr="00F21FE6" w:rsidRDefault="00217971" w:rsidP="00B56290">
            <w:pPr>
              <w:tabs>
                <w:tab w:val="left" w:pos="32"/>
              </w:tabs>
              <w:spacing w:line="254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21FE6">
              <w:rPr>
                <w:rFonts w:ascii="Times New Roman" w:hAnsi="Times New Roman" w:cs="Times New Roman"/>
                <w:bCs/>
              </w:rPr>
              <w:t>руб.</w:t>
            </w:r>
            <w:r w:rsidR="00B5178E">
              <w:rPr>
                <w:rFonts w:ascii="Times New Roman" w:hAnsi="Times New Roman" w:cs="Times New Roman"/>
                <w:bCs/>
              </w:rPr>
              <w:t xml:space="preserve"> </w:t>
            </w:r>
            <w:r w:rsidRPr="00F21FE6">
              <w:rPr>
                <w:rFonts w:ascii="Times New Roman" w:hAnsi="Times New Roman" w:cs="Times New Roman"/>
                <w:bCs/>
              </w:rPr>
              <w:t>за поездку</w:t>
            </w:r>
            <w:r>
              <w:rPr>
                <w:rFonts w:ascii="Times New Roman" w:hAnsi="Times New Roman" w:cs="Times New Roman"/>
                <w:bCs/>
              </w:rPr>
              <w:t xml:space="preserve"> (вне зависимости от дальности поездки)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71" w:rsidRPr="00F21FE6" w:rsidRDefault="00A87814" w:rsidP="00B56290">
            <w:pPr>
              <w:tabs>
                <w:tab w:val="left" w:pos="993"/>
              </w:tabs>
              <w:ind w:hanging="2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41</w:t>
            </w:r>
            <w:r w:rsidR="00765570">
              <w:rPr>
                <w:rFonts w:ascii="Times New Roman" w:hAnsi="Times New Roman" w:cs="Times New Roman"/>
                <w:bCs/>
                <w:szCs w:val="24"/>
              </w:rPr>
              <w:t>,00</w:t>
            </w:r>
          </w:p>
        </w:tc>
      </w:tr>
    </w:tbl>
    <w:p w:rsidR="00A313DB" w:rsidRPr="008C6EB6" w:rsidRDefault="00A313DB" w:rsidP="00432222">
      <w:pPr>
        <w:tabs>
          <w:tab w:val="left" w:pos="993"/>
          <w:tab w:val="right" w:pos="7655"/>
        </w:tabs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309E" w:rsidRDefault="00BE309E" w:rsidP="00217971">
      <w:pPr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BE309E" w:rsidSect="00586EF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E2" w:rsidRDefault="001258E2" w:rsidP="001C3295">
      <w:pPr>
        <w:spacing w:after="0" w:line="240" w:lineRule="auto"/>
      </w:pPr>
      <w:r>
        <w:separator/>
      </w:r>
    </w:p>
  </w:endnote>
  <w:endnote w:type="continuationSeparator" w:id="0">
    <w:p w:rsidR="001258E2" w:rsidRDefault="001258E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E2" w:rsidRDefault="001258E2" w:rsidP="001C3295">
      <w:pPr>
        <w:spacing w:after="0" w:line="240" w:lineRule="auto"/>
      </w:pPr>
      <w:r>
        <w:separator/>
      </w:r>
    </w:p>
  </w:footnote>
  <w:footnote w:type="continuationSeparator" w:id="0">
    <w:p w:rsidR="001258E2" w:rsidRDefault="001258E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954EF1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4196E"/>
    <w:multiLevelType w:val="hybridMultilevel"/>
    <w:tmpl w:val="19E492CA"/>
    <w:lvl w:ilvl="0" w:tplc="EB5E388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CD2"/>
    <w:multiLevelType w:val="hybridMultilevel"/>
    <w:tmpl w:val="21ECDBD4"/>
    <w:lvl w:ilvl="0" w:tplc="4E46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D10"/>
    <w:rsid w:val="000021C1"/>
    <w:rsid w:val="000054EC"/>
    <w:rsid w:val="00032B7C"/>
    <w:rsid w:val="00040B3F"/>
    <w:rsid w:val="000434F5"/>
    <w:rsid w:val="00052BDE"/>
    <w:rsid w:val="00055736"/>
    <w:rsid w:val="0006004B"/>
    <w:rsid w:val="000661D2"/>
    <w:rsid w:val="0006784D"/>
    <w:rsid w:val="000732B1"/>
    <w:rsid w:val="00074F5D"/>
    <w:rsid w:val="000776A3"/>
    <w:rsid w:val="00084A64"/>
    <w:rsid w:val="00094945"/>
    <w:rsid w:val="000967F7"/>
    <w:rsid w:val="000A22B6"/>
    <w:rsid w:val="000C20E4"/>
    <w:rsid w:val="000C38F5"/>
    <w:rsid w:val="000D40FD"/>
    <w:rsid w:val="000D62D8"/>
    <w:rsid w:val="000E47E2"/>
    <w:rsid w:val="000F27FB"/>
    <w:rsid w:val="000F386B"/>
    <w:rsid w:val="0010187C"/>
    <w:rsid w:val="001078B9"/>
    <w:rsid w:val="001158F0"/>
    <w:rsid w:val="00123A6B"/>
    <w:rsid w:val="001258E2"/>
    <w:rsid w:val="001259C9"/>
    <w:rsid w:val="00132D93"/>
    <w:rsid w:val="00142983"/>
    <w:rsid w:val="00147979"/>
    <w:rsid w:val="001539B5"/>
    <w:rsid w:val="00154E04"/>
    <w:rsid w:val="001707C2"/>
    <w:rsid w:val="00170EC1"/>
    <w:rsid w:val="00184CD2"/>
    <w:rsid w:val="00184ED1"/>
    <w:rsid w:val="001868B4"/>
    <w:rsid w:val="001A05BC"/>
    <w:rsid w:val="001A6D4E"/>
    <w:rsid w:val="001A6DF9"/>
    <w:rsid w:val="001B1054"/>
    <w:rsid w:val="001B6A52"/>
    <w:rsid w:val="001C3295"/>
    <w:rsid w:val="001D48D0"/>
    <w:rsid w:val="001E2C45"/>
    <w:rsid w:val="001E66BD"/>
    <w:rsid w:val="00202920"/>
    <w:rsid w:val="002043D2"/>
    <w:rsid w:val="00205A96"/>
    <w:rsid w:val="002147F3"/>
    <w:rsid w:val="00216A45"/>
    <w:rsid w:val="00217971"/>
    <w:rsid w:val="002267C0"/>
    <w:rsid w:val="0023107D"/>
    <w:rsid w:val="00257858"/>
    <w:rsid w:val="00261845"/>
    <w:rsid w:val="00267BE3"/>
    <w:rsid w:val="0027527F"/>
    <w:rsid w:val="00282748"/>
    <w:rsid w:val="00282CE5"/>
    <w:rsid w:val="0029623E"/>
    <w:rsid w:val="002C10B2"/>
    <w:rsid w:val="002C501A"/>
    <w:rsid w:val="002E4E10"/>
    <w:rsid w:val="00302B57"/>
    <w:rsid w:val="00316C55"/>
    <w:rsid w:val="003255B4"/>
    <w:rsid w:val="00325738"/>
    <w:rsid w:val="00332373"/>
    <w:rsid w:val="00340D75"/>
    <w:rsid w:val="003669BC"/>
    <w:rsid w:val="00373039"/>
    <w:rsid w:val="00382497"/>
    <w:rsid w:val="00394378"/>
    <w:rsid w:val="003A4662"/>
    <w:rsid w:val="003B1B12"/>
    <w:rsid w:val="003C6098"/>
    <w:rsid w:val="003E1D81"/>
    <w:rsid w:val="00401EB0"/>
    <w:rsid w:val="00414617"/>
    <w:rsid w:val="00416D49"/>
    <w:rsid w:val="00426089"/>
    <w:rsid w:val="00426EED"/>
    <w:rsid w:val="00432222"/>
    <w:rsid w:val="00433826"/>
    <w:rsid w:val="00440C85"/>
    <w:rsid w:val="004466A4"/>
    <w:rsid w:val="00460311"/>
    <w:rsid w:val="00472C56"/>
    <w:rsid w:val="004737B4"/>
    <w:rsid w:val="004779A2"/>
    <w:rsid w:val="004837EE"/>
    <w:rsid w:val="004878E0"/>
    <w:rsid w:val="004A75ED"/>
    <w:rsid w:val="004B289E"/>
    <w:rsid w:val="004D6032"/>
    <w:rsid w:val="004F4A9D"/>
    <w:rsid w:val="0052416F"/>
    <w:rsid w:val="005425A1"/>
    <w:rsid w:val="00560E43"/>
    <w:rsid w:val="0058285E"/>
    <w:rsid w:val="00583D96"/>
    <w:rsid w:val="00586521"/>
    <w:rsid w:val="00586EF1"/>
    <w:rsid w:val="00590E51"/>
    <w:rsid w:val="005B0217"/>
    <w:rsid w:val="005B6E15"/>
    <w:rsid w:val="005C383B"/>
    <w:rsid w:val="005D7AEA"/>
    <w:rsid w:val="005F0011"/>
    <w:rsid w:val="00606A7A"/>
    <w:rsid w:val="00614837"/>
    <w:rsid w:val="006212F7"/>
    <w:rsid w:val="00626354"/>
    <w:rsid w:val="006312B7"/>
    <w:rsid w:val="006322A2"/>
    <w:rsid w:val="00636EE7"/>
    <w:rsid w:val="006450BA"/>
    <w:rsid w:val="00650A1D"/>
    <w:rsid w:val="006518A1"/>
    <w:rsid w:val="00666905"/>
    <w:rsid w:val="006672F4"/>
    <w:rsid w:val="00675AB8"/>
    <w:rsid w:val="00686EEE"/>
    <w:rsid w:val="006A1263"/>
    <w:rsid w:val="006A76A6"/>
    <w:rsid w:val="006B4B8B"/>
    <w:rsid w:val="006B4C68"/>
    <w:rsid w:val="006C1EB3"/>
    <w:rsid w:val="006D204B"/>
    <w:rsid w:val="006F1DE2"/>
    <w:rsid w:val="006F1EBC"/>
    <w:rsid w:val="007057A1"/>
    <w:rsid w:val="0071234C"/>
    <w:rsid w:val="007161EF"/>
    <w:rsid w:val="0071702F"/>
    <w:rsid w:val="00724008"/>
    <w:rsid w:val="007316D8"/>
    <w:rsid w:val="0073529A"/>
    <w:rsid w:val="00743C5D"/>
    <w:rsid w:val="00743F13"/>
    <w:rsid w:val="00757140"/>
    <w:rsid w:val="007631F1"/>
    <w:rsid w:val="00765570"/>
    <w:rsid w:val="00765E4E"/>
    <w:rsid w:val="007800D2"/>
    <w:rsid w:val="007941B1"/>
    <w:rsid w:val="007C2745"/>
    <w:rsid w:val="007C3297"/>
    <w:rsid w:val="007C514F"/>
    <w:rsid w:val="007D7BE1"/>
    <w:rsid w:val="007F5D8A"/>
    <w:rsid w:val="007F7E77"/>
    <w:rsid w:val="0081225A"/>
    <w:rsid w:val="008226AD"/>
    <w:rsid w:val="00822818"/>
    <w:rsid w:val="00830591"/>
    <w:rsid w:val="00836913"/>
    <w:rsid w:val="00841008"/>
    <w:rsid w:val="0084261B"/>
    <w:rsid w:val="00844D8F"/>
    <w:rsid w:val="008461D2"/>
    <w:rsid w:val="008528B1"/>
    <w:rsid w:val="00854665"/>
    <w:rsid w:val="00854B0D"/>
    <w:rsid w:val="00892B24"/>
    <w:rsid w:val="008B1A28"/>
    <w:rsid w:val="008C6EB6"/>
    <w:rsid w:val="008C78A3"/>
    <w:rsid w:val="008E3C25"/>
    <w:rsid w:val="00901000"/>
    <w:rsid w:val="00902FE1"/>
    <w:rsid w:val="00906A52"/>
    <w:rsid w:val="00907B4B"/>
    <w:rsid w:val="009120E4"/>
    <w:rsid w:val="0091678A"/>
    <w:rsid w:val="00930AB6"/>
    <w:rsid w:val="009464C0"/>
    <w:rsid w:val="00947C9A"/>
    <w:rsid w:val="0095569E"/>
    <w:rsid w:val="009809B4"/>
    <w:rsid w:val="00983DA7"/>
    <w:rsid w:val="00992526"/>
    <w:rsid w:val="009D265B"/>
    <w:rsid w:val="009D7B16"/>
    <w:rsid w:val="009E181C"/>
    <w:rsid w:val="009E5A1A"/>
    <w:rsid w:val="009F1877"/>
    <w:rsid w:val="009F77E5"/>
    <w:rsid w:val="00A03E11"/>
    <w:rsid w:val="00A0434E"/>
    <w:rsid w:val="00A10169"/>
    <w:rsid w:val="00A313DB"/>
    <w:rsid w:val="00A35888"/>
    <w:rsid w:val="00A37B46"/>
    <w:rsid w:val="00A40C2C"/>
    <w:rsid w:val="00A414F1"/>
    <w:rsid w:val="00A46080"/>
    <w:rsid w:val="00A53E80"/>
    <w:rsid w:val="00A55553"/>
    <w:rsid w:val="00A57F7F"/>
    <w:rsid w:val="00A60C71"/>
    <w:rsid w:val="00A74430"/>
    <w:rsid w:val="00A84C31"/>
    <w:rsid w:val="00A87814"/>
    <w:rsid w:val="00A91E8C"/>
    <w:rsid w:val="00A95AB6"/>
    <w:rsid w:val="00AA071E"/>
    <w:rsid w:val="00AD267B"/>
    <w:rsid w:val="00AE2A17"/>
    <w:rsid w:val="00B00CA1"/>
    <w:rsid w:val="00B0596C"/>
    <w:rsid w:val="00B061E1"/>
    <w:rsid w:val="00B139BD"/>
    <w:rsid w:val="00B32CAD"/>
    <w:rsid w:val="00B5178E"/>
    <w:rsid w:val="00B6322D"/>
    <w:rsid w:val="00B7481E"/>
    <w:rsid w:val="00B76889"/>
    <w:rsid w:val="00B94118"/>
    <w:rsid w:val="00B94CA5"/>
    <w:rsid w:val="00BA58B8"/>
    <w:rsid w:val="00BA5B56"/>
    <w:rsid w:val="00BD60FB"/>
    <w:rsid w:val="00BE12B4"/>
    <w:rsid w:val="00BE309E"/>
    <w:rsid w:val="00BE3FF1"/>
    <w:rsid w:val="00BE4A71"/>
    <w:rsid w:val="00BE73E3"/>
    <w:rsid w:val="00C20451"/>
    <w:rsid w:val="00C2165B"/>
    <w:rsid w:val="00C25E0D"/>
    <w:rsid w:val="00C5321E"/>
    <w:rsid w:val="00C6254B"/>
    <w:rsid w:val="00C63405"/>
    <w:rsid w:val="00C84B37"/>
    <w:rsid w:val="00C93188"/>
    <w:rsid w:val="00C9442C"/>
    <w:rsid w:val="00C972F7"/>
    <w:rsid w:val="00CA04B0"/>
    <w:rsid w:val="00CA573F"/>
    <w:rsid w:val="00CB2BC5"/>
    <w:rsid w:val="00CB42CB"/>
    <w:rsid w:val="00CB47D1"/>
    <w:rsid w:val="00CB4F8E"/>
    <w:rsid w:val="00CC1932"/>
    <w:rsid w:val="00CE0798"/>
    <w:rsid w:val="00CE1406"/>
    <w:rsid w:val="00CE1F55"/>
    <w:rsid w:val="00CE52FD"/>
    <w:rsid w:val="00CE5925"/>
    <w:rsid w:val="00D04012"/>
    <w:rsid w:val="00D04EF1"/>
    <w:rsid w:val="00D15B21"/>
    <w:rsid w:val="00D3312E"/>
    <w:rsid w:val="00D40861"/>
    <w:rsid w:val="00D8123B"/>
    <w:rsid w:val="00D87BD4"/>
    <w:rsid w:val="00D87CCA"/>
    <w:rsid w:val="00D87F3A"/>
    <w:rsid w:val="00D97A68"/>
    <w:rsid w:val="00DA70D9"/>
    <w:rsid w:val="00DB4EE6"/>
    <w:rsid w:val="00DB561A"/>
    <w:rsid w:val="00DE136C"/>
    <w:rsid w:val="00DE1AC3"/>
    <w:rsid w:val="00DE612A"/>
    <w:rsid w:val="00DE758E"/>
    <w:rsid w:val="00DF01C5"/>
    <w:rsid w:val="00DF4458"/>
    <w:rsid w:val="00DF5B8F"/>
    <w:rsid w:val="00E13EFB"/>
    <w:rsid w:val="00E148FD"/>
    <w:rsid w:val="00E22FF7"/>
    <w:rsid w:val="00E2350C"/>
    <w:rsid w:val="00E85BB1"/>
    <w:rsid w:val="00EA4739"/>
    <w:rsid w:val="00EB793C"/>
    <w:rsid w:val="00EC2360"/>
    <w:rsid w:val="00ED0819"/>
    <w:rsid w:val="00EE45B9"/>
    <w:rsid w:val="00EE4EDE"/>
    <w:rsid w:val="00F12095"/>
    <w:rsid w:val="00F144CA"/>
    <w:rsid w:val="00F21FE6"/>
    <w:rsid w:val="00F27837"/>
    <w:rsid w:val="00F3070A"/>
    <w:rsid w:val="00F31537"/>
    <w:rsid w:val="00F33152"/>
    <w:rsid w:val="00F40B73"/>
    <w:rsid w:val="00F64C58"/>
    <w:rsid w:val="00F969D3"/>
    <w:rsid w:val="00FA2636"/>
    <w:rsid w:val="00FA273C"/>
    <w:rsid w:val="00FA524C"/>
    <w:rsid w:val="00FA533C"/>
    <w:rsid w:val="00FB52AB"/>
    <w:rsid w:val="00FC38C0"/>
    <w:rsid w:val="00FC5D60"/>
    <w:rsid w:val="00FD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15AF8-D6BF-47B8-96D1-E19A6BD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A03E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3E1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3E1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077C-3ADD-4002-B018-D91C7F3E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Сафаров Эмиль Алмасович</cp:lastModifiedBy>
  <cp:revision>2</cp:revision>
  <cp:lastPrinted>2025-12-19T10:20:00Z</cp:lastPrinted>
  <dcterms:created xsi:type="dcterms:W3CDTF">2025-12-24T14:09:00Z</dcterms:created>
  <dcterms:modified xsi:type="dcterms:W3CDTF">2025-12-24T14:09:00Z</dcterms:modified>
</cp:coreProperties>
</file>