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widowControl w:val="off"/>
        <w:tabs>
          <w:tab w:val="right" w:pos="7655" w:leader="none"/>
        </w:tabs>
        <w:rPr>
          <w:sz w:val="20"/>
          <w:szCs w:val="20"/>
        </w:rPr>
      </w:pPr>
      <w:r>
        <w:rPr>
          <w:sz w:val="20"/>
          <w:szCs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80390" cy="715645"/>
                <wp:effectExtent l="0" t="0" r="0" b="825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7514534" name="Рисунок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80388" cy="7156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5.70pt;height:56.3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widowControl w:val="off"/>
        <w:rPr>
          <w:spacing w:val="30"/>
          <w:sz w:val="28"/>
          <w:szCs w:val="28"/>
        </w:rPr>
        <w:outlineLvl w:val="0"/>
      </w:pPr>
      <w:r>
        <w:rPr>
          <w:spacing w:val="30"/>
          <w:sz w:val="28"/>
          <w:szCs w:val="28"/>
        </w:rPr>
        <w:t xml:space="preserve">АДМИНИСТРАЦИЯ ЛЕНИНГРАДСКОЙ ОБЛАСТИ</w:t>
      </w:r>
      <w:r>
        <w:rPr>
          <w:spacing w:val="30"/>
          <w:sz w:val="28"/>
          <w:szCs w:val="28"/>
        </w:rPr>
      </w:r>
      <w:r>
        <w:rPr>
          <w:spacing w:val="30"/>
          <w:sz w:val="28"/>
          <w:szCs w:val="28"/>
        </w:rPr>
      </w:r>
    </w:p>
    <w:p>
      <w:pPr>
        <w:jc w:val="center"/>
        <w:rPr>
          <w:b/>
          <w:spacing w:val="30"/>
        </w:rPr>
        <w:outlineLvl w:val="0"/>
      </w:pPr>
      <w:r>
        <w:rPr>
          <w:b/>
          <w:spacing w:val="30"/>
        </w:rPr>
        <w:t xml:space="preserve">КОМИТЕТ ПО СОХРАНЕНИЮ КУЛЬТУРНОГО НАСЛЕДИЯ ЛЕНИНГРАДСКОЙ ОБЛАСТИ</w:t>
      </w:r>
      <w:r>
        <w:rPr>
          <w:b/>
          <w:spacing w:val="30"/>
        </w:rPr>
      </w:r>
      <w:r>
        <w:rPr>
          <w:b/>
          <w:spacing w:val="30"/>
        </w:rPr>
      </w:r>
    </w:p>
    <w:p>
      <w:pPr>
        <w:jc w:val="center"/>
        <w:widowControl w:val="off"/>
        <w:rPr>
          <w:sz w:val="20"/>
          <w:szCs w:val="20"/>
        </w:rPr>
        <w:pBdr>
          <w:bottom w:val="single" w:color="000000" w:sz="12" w:space="0"/>
        </w:pBd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jc w:val="center"/>
        <w:widowControl w:val="off"/>
        <w:rPr>
          <w:b/>
          <w:spacing w:val="80"/>
          <w:sz w:val="10"/>
          <w:szCs w:val="10"/>
        </w:rPr>
      </w:pPr>
      <w:r>
        <w:rPr>
          <w:b/>
          <w:spacing w:val="80"/>
          <w:sz w:val="10"/>
          <w:szCs w:val="10"/>
        </w:rPr>
      </w:r>
      <w:r>
        <w:rPr>
          <w:b/>
          <w:spacing w:val="80"/>
          <w:sz w:val="10"/>
          <w:szCs w:val="10"/>
        </w:rPr>
      </w:r>
      <w:r>
        <w:rPr>
          <w:b/>
          <w:spacing w:val="80"/>
          <w:sz w:val="10"/>
          <w:szCs w:val="10"/>
        </w:rPr>
      </w:r>
    </w:p>
    <w:p>
      <w:pPr>
        <w:ind w:right="-1"/>
        <w:jc w:val="center"/>
        <w:widowControl w:val="off"/>
        <w:rPr>
          <w:b/>
          <w:sz w:val="36"/>
          <w:szCs w:val="36"/>
        </w:rPr>
        <w:outlineLvl w:val="0"/>
      </w:pPr>
      <w:r>
        <w:rPr>
          <w:b/>
          <w:sz w:val="36"/>
          <w:szCs w:val="36"/>
        </w:rPr>
        <w:t xml:space="preserve">ПРИКАЗ</w:t>
      </w:r>
      <w:r>
        <w:rPr>
          <w:b/>
          <w:sz w:val="36"/>
          <w:szCs w:val="36"/>
        </w:rPr>
      </w:r>
      <w:r>
        <w:rPr>
          <w:b/>
          <w:sz w:val="36"/>
          <w:szCs w:val="36"/>
        </w:rPr>
      </w:r>
    </w:p>
    <w:p>
      <w:pPr>
        <w:ind w:right="-1"/>
        <w:widowControl w:val="off"/>
        <w:tabs>
          <w:tab w:val="right" w:pos="9356" w:leader="none"/>
        </w:tabs>
        <w:rPr>
          <w:sz w:val="18"/>
          <w:szCs w:val="28"/>
        </w:rPr>
      </w:pPr>
      <w:r>
        <w:rPr>
          <w:sz w:val="18"/>
          <w:szCs w:val="28"/>
        </w:rPr>
      </w:r>
      <w:r>
        <w:rPr>
          <w:sz w:val="18"/>
          <w:szCs w:val="28"/>
        </w:rPr>
      </w:r>
      <w:r>
        <w:rPr>
          <w:sz w:val="18"/>
          <w:szCs w:val="28"/>
        </w:rPr>
      </w:r>
    </w:p>
    <w:p>
      <w:pPr>
        <w:ind w:right="-1"/>
        <w:widowControl w:val="off"/>
        <w:tabs>
          <w:tab w:val="right" w:pos="9356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«___» ______________ 2025 г.</w:t>
      </w:r>
      <w:r>
        <w:rPr>
          <w:sz w:val="27"/>
          <w:szCs w:val="27"/>
        </w:rPr>
        <w:t xml:space="preserve">                                              №______________________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ind w:right="-1"/>
        <w:jc w:val="center"/>
        <w:widowControl w:val="off"/>
        <w:tabs>
          <w:tab w:val="right" w:pos="9356" w:leader="none"/>
        </w:tabs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         Санкт-Петербург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  <w:r>
        <w:rPr>
          <w:sz w:val="18"/>
          <w:szCs w:val="18"/>
          <w:u w:val="single"/>
        </w:rPr>
      </w:r>
    </w:p>
    <w:p>
      <w:pPr>
        <w:ind w:right="-1"/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приказ </w:t>
      </w:r>
      <w:r>
        <w:rPr>
          <w:b/>
          <w:bCs/>
          <w:sz w:val="28"/>
          <w:szCs w:val="28"/>
        </w:rPr>
        <w:t xml:space="preserve">к</w:t>
      </w:r>
      <w:r>
        <w:rPr>
          <w:b/>
          <w:bCs/>
          <w:sz w:val="28"/>
          <w:szCs w:val="28"/>
        </w:rPr>
        <w:t xml:space="preserve">омитета по сох</w:t>
      </w:r>
      <w:r>
        <w:rPr>
          <w:b/>
          <w:bCs/>
          <w:sz w:val="28"/>
          <w:szCs w:val="28"/>
        </w:rPr>
        <w:t xml:space="preserve">ранению объектов культурного наследия Ленинградской области </w:t>
      </w:r>
      <w:r>
        <w:rPr>
          <w:b/>
          <w:bCs/>
          <w:sz w:val="28"/>
          <w:szCs w:val="28"/>
        </w:rPr>
        <w:t xml:space="preserve">№01-03/22-151 от 29.07.2022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-1"/>
        <w:jc w:val="center"/>
        <w:tabs>
          <w:tab w:val="left" w:pos="0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«О включении объекта культурного наследия «</w:t>
      </w:r>
      <w:r>
        <w:rPr>
          <w:b/>
          <w:bCs/>
          <w:sz w:val="28"/>
          <w:szCs w:val="28"/>
        </w:rPr>
        <w:t xml:space="preserve">Карельский укрепленный район. Лемболовский батальонный район обороны. Комплекс фортификационных сооружений в составе огневых точек: ДОТ № 60, ДОТ                  № 603, АДОТ № 08, АДОТ № 09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  <w:t xml:space="preserve">, 1929, 1931, 1941 годы, адрес (местонахождение): </w:t>
      </w:r>
      <w:r>
        <w:rPr>
          <w:b/>
          <w:bCs/>
          <w:sz w:val="28"/>
          <w:szCs w:val="28"/>
        </w:rPr>
        <w:t xml:space="preserve">Ленинградская область, Всеволожский район, Куйвозовское сельское поселение, массив Лемболовская Твердыня, сооружение 4; Ленинградская область, Всеволожский район, Куйвозовское сельское поселение, территория Автодорога Санкт-Петербург - Сортавала, сооружения</w:t>
      </w:r>
      <w:r>
        <w:rPr>
          <w:b/>
          <w:bCs/>
          <w:sz w:val="28"/>
          <w:szCs w:val="28"/>
        </w:rPr>
        <w:t xml:space="preserve"> 1, 2, 3</w:t>
      </w:r>
      <w:r>
        <w:rPr>
          <w:b/>
          <w:bCs/>
          <w:sz w:val="28"/>
          <w:szCs w:val="28"/>
        </w:rPr>
        <w:t xml:space="preserve">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значения, утверждении границ его территории и предмета охраны»</w:t>
      </w:r>
      <w:r>
        <w:rPr>
          <w:b/>
          <w:bCs/>
          <w:sz w:val="28"/>
          <w:szCs w:val="28"/>
        </w:rPr>
      </w:r>
    </w:p>
    <w:p>
      <w:pPr>
        <w:ind w:right="-1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3.1, 9.2, 20, 33 Федерального закона от 25 июня 2002 года № 73-Ф3 «Об объектах культурного наследия (памятниках истории </w:t>
      </w:r>
      <w:r>
        <w:rPr>
          <w:sz w:val="28"/>
          <w:szCs w:val="28"/>
        </w:rPr>
        <w:br/>
        <w:t xml:space="preserve">и культуры) народов Российской Ф</w:t>
      </w:r>
      <w:r>
        <w:rPr>
          <w:sz w:val="28"/>
          <w:szCs w:val="28"/>
        </w:rPr>
        <w:t xml:space="preserve">едерации», статьей 4 областного закона Ленинградской области от 25 декабря 2015 года № 140-оз «О государственной охране, сохранении, использовании и популяризации объектов культурного наследия (памятников истории и культуры) народов Российской Федерации», </w:t>
      </w:r>
      <w:r>
        <w:rPr>
          <w:sz w:val="28"/>
          <w:szCs w:val="28"/>
        </w:rPr>
        <w:t xml:space="preserve">постановлением Правительства Ленинградской области от 21 декабря 2020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839 «Об органах исполнительной власти Ленинградской области в сфере культуры и туризма», пунктами 2.1.2, 2.3.7 Положения о комитете по сохранению культурного наследия Ленинградск</w:t>
      </w:r>
      <w:r>
        <w:rPr>
          <w:sz w:val="28"/>
          <w:szCs w:val="28"/>
        </w:rPr>
        <w:t xml:space="preserve">ой области, утвержденного постановлением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Ленинградской области от 24 декабря 2020 года № 850, на основании </w:t>
      </w:r>
      <w:r>
        <w:rPr>
          <w:sz w:val="28"/>
          <w:szCs w:val="28"/>
        </w:rPr>
        <w:t xml:space="preserve">сведений, предоставленных Обществом с ограниченной ответственностью «Строительная</w:t>
      </w:r>
      <w:r>
        <w:rPr>
          <w:sz w:val="28"/>
          <w:szCs w:val="28"/>
        </w:rPr>
        <w:t xml:space="preserve"> политехническая компания» в рамках исполнения государственного контракта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от 02</w:t>
      </w:r>
      <w:r>
        <w:rPr>
          <w:sz w:val="28"/>
          <w:szCs w:val="28"/>
          <w:highlight w:val="none"/>
        </w:rPr>
        <w:t xml:space="preserve"> октября 2025 № 035/2025-ИНВ (</w:t>
      </w:r>
      <w:r>
        <w:rPr>
          <w:sz w:val="28"/>
          <w:szCs w:val="28"/>
          <w:highlight w:val="none"/>
        </w:rPr>
        <w:t xml:space="preserve">вх</w:t>
      </w:r>
      <w:r>
        <w:rPr>
          <w:sz w:val="28"/>
          <w:szCs w:val="28"/>
          <w:highlight w:val="none"/>
        </w:rPr>
        <w:t xml:space="preserve">. от 01 ноября 2025 года </w:t>
      </w:r>
      <w:r>
        <w:rPr>
          <w:sz w:val="28"/>
          <w:szCs w:val="28"/>
          <w:highlight w:val="none"/>
        </w:rPr>
        <w:br/>
        <w:t xml:space="preserve">№ 01-07-9786/2025),</w:t>
      </w:r>
      <w:r>
        <w:rPr>
          <w:sz w:val="28"/>
          <w:szCs w:val="28"/>
        </w:rPr>
        <w:t xml:space="preserve"> в целях устранения технической ошибки описания местоположения границ объекта культурного наследия,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both"/>
        <w:tabs>
          <w:tab w:val="left" w:pos="0" w:leader="none"/>
        </w:tabs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ab/>
        <w:t xml:space="preserve">Внести изменения в приложение № 1 к приказу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омитета по сох</w:t>
      </w:r>
      <w:r>
        <w:rPr>
          <w:sz w:val="28"/>
          <w:szCs w:val="28"/>
        </w:rPr>
        <w:t xml:space="preserve">ранению объектов культурного наследия Ленинградской области </w:t>
      </w:r>
      <w:r>
        <w:rPr>
          <w:sz w:val="28"/>
          <w:szCs w:val="28"/>
        </w:rPr>
        <w:t xml:space="preserve">№01-03/18-391 от 03.12.2018 «Об установлении границ территории и предмета охраны объекта культурного наследия регионального значения «Памятное место, где захоронен</w:t>
      </w:r>
      <w:r>
        <w:rPr>
          <w:sz w:val="28"/>
          <w:szCs w:val="28"/>
        </w:rPr>
        <w:t xml:space="preserve">ы партизаны, погибшие при эвакуации в 1941-1944 гг. Установлен памятник-звезда» по адресу: Ленинградская область, Сланцевский муниципальный район, Сланцевское городское поселение, город Сланцы, улица Ленина, l A, сооружение 1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изложив его </w:t>
      </w:r>
      <w:r>
        <w:rPr>
          <w:sz w:val="28"/>
          <w:szCs w:val="28"/>
        </w:rPr>
        <w:t xml:space="preserve">в редакции, согласно приложению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настоящему приказу.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2.</w:t>
      </w:r>
      <w:r>
        <w:rPr>
          <w:sz w:val="28"/>
          <w:szCs w:val="28"/>
        </w:rPr>
        <w:tab/>
        <w:t xml:space="preserve">Отделу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 обеспечить: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- внесение с</w:t>
      </w:r>
      <w:r>
        <w:rPr>
          <w:sz w:val="28"/>
          <w:szCs w:val="28"/>
        </w:rPr>
        <w:t xml:space="preserve">ведений об объекте культурного наследия регионального значения, указанном в п. 1 настоящего приказа, в единый государственный реестр объектов культурного наследия (памятников истории и культуры) народов Российской Федерации;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- направление копии настоящего </w:t>
      </w:r>
      <w:r>
        <w:rPr>
          <w:sz w:val="28"/>
          <w:szCs w:val="28"/>
        </w:rPr>
        <w:t xml:space="preserve">приказа в сроки, установленные действующим законодательством, в территориальный орган федерального органа исполнительной власти, уполномоченного Правительством Российской Федерации на осуществление государственного кадастрового учета, государственной регис</w:t>
      </w:r>
      <w:r>
        <w:rPr>
          <w:sz w:val="28"/>
          <w:szCs w:val="28"/>
        </w:rPr>
        <w:t xml:space="preserve">трации прав, ведение Единого государственного реестра недвижимости </w:t>
      </w:r>
      <w:r>
        <w:rPr>
          <w:sz w:val="28"/>
          <w:szCs w:val="28"/>
        </w:rPr>
        <w:br/>
        <w:t xml:space="preserve">и предоставление сведений, содержащихся в Едином государственном реестре недвижимости;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- направление письменного уведомления собственнику или иному законному владельцу объекта культурного </w:t>
      </w:r>
      <w:r>
        <w:rPr>
          <w:sz w:val="28"/>
          <w:szCs w:val="28"/>
        </w:rPr>
        <w:t xml:space="preserve">наследия регионального значения, земельного участка в границах территории объекта культурного наследия регионального значения, указанного в п.1 настоящего приказа.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ab/>
        <w:t xml:space="preserve">Сектору делопроизводства и информационного обеспечения комитета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сохранению культурного</w:t>
      </w:r>
      <w:r>
        <w:rPr>
          <w:sz w:val="28"/>
          <w:szCs w:val="28"/>
        </w:rPr>
        <w:t xml:space="preserve"> наследия Ленинградской области обеспечить размещение настоящего приказа в сетевом издании «Электронное опубликование документов» </w:t>
      </w:r>
      <w:r>
        <w:rPr>
          <w:sz w:val="28"/>
          <w:szCs w:val="28"/>
        </w:rPr>
        <w:t xml:space="preserve">в информационно-телекоммуникационной сети «Интернет».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ab/>
        <w:t xml:space="preserve">Контроль за исполнением настоящего приказа возложить на заместителя п</w:t>
      </w:r>
      <w:r>
        <w:rPr>
          <w:sz w:val="28"/>
          <w:szCs w:val="28"/>
        </w:rPr>
        <w:t xml:space="preserve">редседателя комитета по сохранению культурного наследия Ленинградской области, осуществляющего полномочия в сфере сохранения, использования, популяризации и государственной охраны объектов культурного наследия.</w:t>
      </w:r>
      <w:r/>
    </w:p>
    <w:p>
      <w:pPr>
        <w:ind w:firstLine="850"/>
        <w:jc w:val="both"/>
      </w:pPr>
      <w:r>
        <w:rPr>
          <w:sz w:val="28"/>
          <w:szCs w:val="28"/>
        </w:rPr>
        <w:t xml:space="preserve">5.</w:t>
      </w:r>
      <w:r>
        <w:rPr>
          <w:sz w:val="28"/>
          <w:szCs w:val="28"/>
        </w:rPr>
        <w:tab/>
        <w:t xml:space="preserve">Настоящий приказ вступает в силу со дня ег</w:t>
      </w:r>
      <w:r>
        <w:rPr>
          <w:sz w:val="28"/>
          <w:szCs w:val="28"/>
        </w:rPr>
        <w:t xml:space="preserve">о официального опубликования.</w:t>
      </w:r>
      <w:r/>
    </w:p>
    <w:p>
      <w:pPr>
        <w:jc w:val="both"/>
      </w:pPr>
      <w:r/>
      <w:r/>
    </w:p>
    <w:p>
      <w:pPr>
        <w:jc w:val="both"/>
      </w:pPr>
      <w:r/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259"/>
        <w:gridCol w:w="4946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353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Вице-губернатор Ленинградской области </w:t>
            </w:r>
            <w:r>
              <w:rPr>
                <w:sz w:val="28"/>
                <w:szCs w:val="28"/>
              </w:rPr>
              <w:br/>
              <w:t xml:space="preserve">по вопросам развития и сохранения культурного наследия – председатель комитета по сохранению культурного наследия Ленинградской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68" w:type="dxa"/>
            <w:textDirection w:val="lrTb"/>
            <w:noWrap w:val="false"/>
          </w:tcPr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  <w:r>
              <w:rPr>
                <w:sz w:val="27"/>
                <w:szCs w:val="27"/>
              </w:rPr>
            </w:r>
          </w:p>
          <w:p>
            <w:pPr>
              <w:jc w:val="right"/>
              <w:tabs>
                <w:tab w:val="left" w:pos="1134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Цой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lef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lef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lef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lef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lef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lef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"/>
        <w:jc w:val="right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center" w:pos="510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комитета </w:t>
      </w:r>
      <w:r>
        <w:rPr>
          <w:sz w:val="28"/>
          <w:szCs w:val="28"/>
        </w:rPr>
        <w:br/>
        <w:t xml:space="preserve">по сохранению культурного наследия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contextualSpacing/>
        <w:ind w:left="581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от «___» _____________2025 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№_____________________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right="-1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Границы</w:t>
      </w:r>
      <w:r>
        <w:rPr>
          <w:b/>
          <w:sz w:val="28"/>
          <w:szCs w:val="28"/>
        </w:rPr>
        <w:t xml:space="preserve"> территории объекта культурного наследия регионального значения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Памятное м</w:t>
      </w:r>
      <w:r>
        <w:rPr>
          <w:b/>
          <w:sz w:val="28"/>
          <w:szCs w:val="28"/>
        </w:rPr>
        <w:t xml:space="preserve">есто, где захоронены партизаны, погибшие при эвакуации </w:t>
      </w:r>
      <w:r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в 1941-</w:t>
      </w:r>
      <w:r>
        <w:rPr>
          <w:b/>
          <w:sz w:val="28"/>
          <w:szCs w:val="28"/>
        </w:rPr>
        <w:t xml:space="preserve">19</w:t>
      </w:r>
      <w:r>
        <w:rPr>
          <w:b/>
          <w:sz w:val="28"/>
          <w:szCs w:val="28"/>
        </w:rPr>
        <w:t xml:space="preserve">44 гг</w:t>
      </w:r>
      <w:r>
        <w:rPr>
          <w:b/>
          <w:sz w:val="28"/>
          <w:szCs w:val="28"/>
        </w:rPr>
        <w:t xml:space="preserve">. Установлен памятник-звезда» </w:t>
      </w:r>
      <w:r>
        <w:rPr>
          <w:b/>
          <w:sz w:val="28"/>
          <w:szCs w:val="28"/>
        </w:rPr>
        <w:t xml:space="preserve">по адресу: Ленинградская область, Сланцевский муниципальный район, Сланцевское городское поселение, город Сланцы, улица Ленина, 1А, сооружение 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6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6"/>
        <w:contextualSpacing/>
        <w:ind w:right="-1"/>
        <w:rPr>
          <w:rFonts w:eastAsia="Calibri"/>
          <w:sz w:val="28"/>
          <w:szCs w:val="28"/>
          <w:lang w:eastAsia="en-US"/>
        </w:rPr>
      </w:pPr>
      <w:r>
        <w:rPr>
          <w:color w:val="22272f"/>
          <w:sz w:val="28"/>
          <w:szCs w:val="28"/>
          <w:shd w:val="clear" w:color="auto" w:fill="ffffff"/>
        </w:rPr>
        <w:t xml:space="preserve">Границ</w:t>
      </w:r>
      <w:r>
        <w:rPr>
          <w:color w:val="22272f"/>
          <w:sz w:val="28"/>
          <w:szCs w:val="28"/>
          <w:shd w:val="clear" w:color="auto" w:fill="ffffff"/>
        </w:rPr>
        <w:t xml:space="preserve">ы</w:t>
      </w:r>
      <w:r>
        <w:rPr>
          <w:color w:val="22272f"/>
          <w:sz w:val="28"/>
          <w:szCs w:val="28"/>
          <w:shd w:val="clear" w:color="auto" w:fill="ffffff"/>
        </w:rPr>
        <w:t xml:space="preserve"> территории объекта культурного наследия проход</w:t>
      </w:r>
      <w:r>
        <w:rPr>
          <w:color w:val="22272f"/>
          <w:sz w:val="28"/>
          <w:szCs w:val="28"/>
          <w:shd w:val="clear" w:color="auto" w:fill="ffffff"/>
        </w:rPr>
        <w:t xml:space="preserve">я</w:t>
      </w:r>
      <w:r>
        <w:rPr>
          <w:color w:val="22272f"/>
          <w:sz w:val="28"/>
          <w:szCs w:val="28"/>
          <w:shd w:val="clear" w:color="auto" w:fill="ffffff"/>
        </w:rPr>
        <w:t xml:space="preserve">т: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6"/>
        <w:contextualSpacing/>
        <w:ind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 xml:space="preserve">от точки 1 к точке 2 на север;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726"/>
        <w:contextualSpacing/>
        <w:ind w:left="709" w:right="-1"/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 xml:space="preserve">от точки 2 к точке 3 на восток;</w:t>
      </w:r>
      <w:r>
        <w:rPr>
          <w:rFonts w:eastAsia="Calibri"/>
          <w:sz w:val="27"/>
          <w:szCs w:val="27"/>
          <w:lang w:eastAsia="en-US"/>
        </w:rPr>
      </w:r>
      <w:r>
        <w:rPr>
          <w:rFonts w:eastAsia="Calibri"/>
          <w:sz w:val="27"/>
          <w:szCs w:val="27"/>
          <w:lang w:eastAsia="en-US"/>
        </w:rPr>
      </w:r>
    </w:p>
    <w:p>
      <w:pPr>
        <w:pStyle w:val="726"/>
        <w:contextualSpacing/>
        <w:ind w:left="709" w:right="-1"/>
        <w:jc w:val="both"/>
      </w:pPr>
      <w:r>
        <w:rPr>
          <w:rFonts w:eastAsia="Calibri"/>
          <w:sz w:val="27"/>
          <w:szCs w:val="27"/>
          <w:lang w:eastAsia="en-US"/>
        </w:rPr>
        <w:t xml:space="preserve">от точки 3 к точке 4 на юг;</w:t>
      </w:r>
      <w:r/>
    </w:p>
    <w:p>
      <w:pPr>
        <w:pStyle w:val="726"/>
        <w:contextualSpacing/>
        <w:ind w:left="709" w:right="-1"/>
        <w:jc w:val="both"/>
        <w:rPr>
          <w:b/>
          <w:sz w:val="16"/>
          <w:szCs w:val="28"/>
        </w:rPr>
      </w:pPr>
      <w:r>
        <w:rPr>
          <w:rFonts w:eastAsia="Calibri"/>
          <w:sz w:val="27"/>
          <w:szCs w:val="27"/>
          <w:lang w:eastAsia="en-US"/>
        </w:rPr>
        <w:t xml:space="preserve">от точки 4 к точке 1на запад.</w:t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726"/>
        <w:contextualSpacing/>
        <w:ind w:left="709" w:right="-1" w:hanging="709"/>
        <w:jc w:val="both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726"/>
        <w:contextualSpacing/>
        <w:ind w:left="709" w:right="-1" w:hanging="709"/>
        <w:jc w:val="both"/>
        <w:rPr>
          <w:b/>
          <w:sz w:val="16"/>
          <w:szCs w:val="28"/>
        </w:rPr>
      </w:pPr>
      <w:r>
        <w:rPr>
          <w:b/>
          <w:sz w:val="16"/>
          <w:szCs w:val="28"/>
        </w:rPr>
      </w:r>
      <w:r>
        <w:rPr>
          <w:b/>
          <w:sz w:val="16"/>
          <w:szCs w:val="28"/>
        </w:rPr>
      </w:r>
      <w:r>
        <w:rPr>
          <w:b/>
          <w:sz w:val="16"/>
          <w:szCs w:val="28"/>
        </w:rPr>
      </w:r>
    </w:p>
    <w:p>
      <w:pPr>
        <w:pStyle w:val="726"/>
        <w:contextualSpacing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Карта (схема) границ территории объекта культурного наследия</w:t>
      </w:r>
      <w:r>
        <w:rPr>
          <w:b/>
          <w:sz w:val="28"/>
          <w:szCs w:val="28"/>
        </w:rPr>
        <w:t xml:space="preserve"> регионального значения</w:t>
      </w:r>
      <w:r>
        <w:rPr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 xml:space="preserve">«</w:t>
      </w:r>
      <w:r>
        <w:rPr>
          <w:rFonts w:eastAsia="Calibri"/>
          <w:b/>
          <w:sz w:val="28"/>
          <w:szCs w:val="28"/>
          <w:lang w:eastAsia="en-US"/>
        </w:rPr>
        <w:t xml:space="preserve">Место, где захоронены партизаны, погибшие </w:t>
      </w:r>
      <w:r>
        <w:rPr>
          <w:rFonts w:eastAsia="Calibri"/>
          <w:b/>
          <w:sz w:val="28"/>
          <w:szCs w:val="28"/>
          <w:lang w:eastAsia="en-US"/>
        </w:rPr>
        <w:t xml:space="preserve">                  </w:t>
      </w:r>
      <w:r>
        <w:rPr>
          <w:rFonts w:eastAsia="Calibri"/>
          <w:b/>
          <w:sz w:val="28"/>
          <w:szCs w:val="28"/>
          <w:lang w:eastAsia="en-US"/>
        </w:rPr>
        <w:t xml:space="preserve">при эвакуации в 1941-44</w:t>
      </w:r>
      <w:r>
        <w:rPr>
          <w:rFonts w:eastAsia="Calibri"/>
          <w:b/>
          <w:sz w:val="28"/>
          <w:szCs w:val="28"/>
          <w:lang w:eastAsia="en-US"/>
        </w:rPr>
        <w:t xml:space="preserve"> гг. Установлен памятник-звезда</w:t>
      </w:r>
      <w:r>
        <w:rPr>
          <w:rFonts w:eastAsia="Calibri"/>
          <w:b/>
          <w:sz w:val="28"/>
          <w:szCs w:val="28"/>
          <w:lang w:eastAsia="en-US"/>
        </w:rPr>
        <w:t xml:space="preserve">» по адресу: Ленинградская область, Сланцевский муниципальный район, Сланцевское городское поселение, город Сланцы, улица Ленина, 1А, сооружение 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6"/>
        <w:contextualSpacing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6"/>
        <w:jc w:val="center"/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fldChar w:fldCharType="begin"/>
      </w:r>
      <w:r>
        <w:rPr>
          <w:rFonts w:eastAsia="Calibri"/>
          <w:sz w:val="28"/>
          <w:szCs w:val="28"/>
          <w:lang w:eastAsia="en-US"/>
        </w:rPr>
        <w:instrText xml:space="preserve"> SHAPE  \* MERGEFORMAT </w:instrText>
      </w:r>
      <w:r>
        <w:rPr>
          <w:rFonts w:eastAsia="Calibri"/>
          <w:sz w:val="28"/>
          <w:szCs w:val="28"/>
          <w:lang w:eastAsia="en-US"/>
        </w:rPr>
        <w:fldChar w:fldCharType="separate"/>
      </w:r>
      <w:r>
        <w:rPr>
          <w:rFonts w:eastAsia="Calibri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733290" cy="2390775"/>
                <wp:effectExtent l="0" t="0" r="0" b="0"/>
                <wp:docPr id="2" name="_x0000_s118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5848593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733289" cy="23907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372.70pt;height:188.2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Calibri"/>
          <w:sz w:val="28"/>
          <w:szCs w:val="28"/>
          <w:lang w:eastAsia="en-US"/>
        </w:rPr>
        <w:fldChar w:fldCharType="end"/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6"/>
        <w:contextualSpacing/>
        <w:jc w:val="center"/>
        <w:tabs>
          <w:tab w:val="left" w:pos="3531" w:leader="none"/>
          <w:tab w:val="center" w:pos="5103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Условные обозначения: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726"/>
        <w:contextualSpacing/>
        <w:jc w:val="center"/>
        <w:rPr>
          <w:rFonts w:eastAsia="Calibri"/>
          <w:sz w:val="16"/>
          <w:szCs w:val="28"/>
          <w:lang w:eastAsia="en-US"/>
        </w:rPr>
      </w:pPr>
      <w:r>
        <w:rPr>
          <w:rFonts w:eastAsia="Calibri"/>
          <w:sz w:val="16"/>
          <w:szCs w:val="28"/>
          <w:lang w:eastAsia="en-US"/>
        </w:rPr>
      </w:r>
      <w:r>
        <w:rPr>
          <w:rFonts w:eastAsia="Calibri"/>
          <w:sz w:val="16"/>
          <w:szCs w:val="28"/>
          <w:lang w:eastAsia="en-US"/>
        </w:rPr>
      </w:r>
      <w:r>
        <w:rPr>
          <w:rFonts w:eastAsia="Calibri"/>
          <w:sz w:val="16"/>
          <w:szCs w:val="28"/>
          <w:lang w:eastAsia="en-US"/>
        </w:rPr>
      </w:r>
    </w:p>
    <w:p>
      <w:pPr>
        <w:pStyle w:val="726"/>
        <w:jc w:val="center"/>
        <w:spacing w:after="200" w:line="276" w:lineRule="auto"/>
        <w:rPr>
          <w:rFonts w:eastAsia="Calibri"/>
          <w:szCs w:val="20"/>
          <w:lang w:eastAsia="en-US"/>
        </w:rPr>
      </w:pPr>
      <w:r>
        <w:rPr>
          <w:rFonts w:eastAsia="Calibri"/>
          <w:position w:val="-10"/>
          <w:sz w:val="28"/>
          <w:szCs w:val="22"/>
          <w:lang w:eastAsia="en-US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33450" cy="230429"/>
                <wp:effectExtent l="0" t="0" r="0" b="0"/>
                <wp:docPr id="3" name="_x0000_i118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9857384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33449" cy="2304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3.50pt;height:18.14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eastAsia="Calibri"/>
          <w:szCs w:val="20"/>
          <w:lang w:eastAsia="en-US"/>
        </w:rPr>
        <w:t xml:space="preserve">- граница территории объекта культурного наследия регионального значения</w:t>
      </w:r>
      <w:r>
        <w:rPr>
          <w:rFonts w:eastAsia="Calibri"/>
          <w:szCs w:val="20"/>
          <w:lang w:eastAsia="en-US"/>
        </w:rPr>
      </w:r>
      <w:r>
        <w:rPr>
          <w:rFonts w:eastAsia="Calibri"/>
          <w:szCs w:val="20"/>
          <w:lang w:eastAsia="en-US"/>
        </w:rPr>
      </w:r>
    </w:p>
    <w:p>
      <w:pPr>
        <w:pStyle w:val="726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726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726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726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726"/>
        <w:contextualSpacing/>
        <w:ind w:right="-1"/>
        <w:jc w:val="center"/>
        <w:rPr>
          <w:rFonts w:eastAsia="SimSun"/>
          <w:b/>
          <w:sz w:val="28"/>
          <w:szCs w:val="28"/>
          <w:lang w:eastAsia="zh-CN" w:bidi="hi-IN"/>
        </w:rPr>
      </w:pP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  <w:r>
        <w:rPr>
          <w:rFonts w:eastAsia="SimSun"/>
          <w:b/>
          <w:sz w:val="28"/>
          <w:szCs w:val="28"/>
          <w:lang w:eastAsia="zh-CN" w:bidi="hi-IN"/>
        </w:rPr>
      </w:r>
    </w:p>
    <w:p>
      <w:pPr>
        <w:pStyle w:val="726"/>
        <w:ind w:right="-1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rFonts w:eastAsia="SimSun"/>
          <w:b/>
          <w:sz w:val="28"/>
          <w:szCs w:val="28"/>
          <w:lang w:eastAsia="zh-CN" w:bidi="hi-IN"/>
        </w:rPr>
        <w:t xml:space="preserve">Перечень координат поворотных (характерных) точек границ территории объекта культурного наследия регионального значения</w:t>
      </w:r>
      <w:r>
        <w:rPr>
          <w:rFonts w:eastAsia="SimSun"/>
          <w:b/>
          <w:sz w:val="28"/>
          <w:szCs w:val="28"/>
          <w:lang w:eastAsia="zh-CN" w:bidi="hi-IN"/>
        </w:rPr>
        <w:t xml:space="preserve">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Памятное м</w:t>
      </w:r>
      <w:r>
        <w:rPr>
          <w:b/>
          <w:sz w:val="28"/>
          <w:szCs w:val="28"/>
        </w:rPr>
        <w:t xml:space="preserve">есто, где захоронены партизаны, погибшие при эвакуации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1941-</w:t>
      </w:r>
      <w:r>
        <w:rPr>
          <w:b/>
          <w:sz w:val="28"/>
          <w:szCs w:val="28"/>
        </w:rPr>
        <w:t xml:space="preserve">19</w:t>
      </w:r>
      <w:r>
        <w:rPr>
          <w:b/>
          <w:sz w:val="28"/>
          <w:szCs w:val="28"/>
        </w:rPr>
        <w:t xml:space="preserve">44 гг</w:t>
      </w:r>
      <w:r>
        <w:rPr>
          <w:b/>
          <w:sz w:val="28"/>
          <w:szCs w:val="28"/>
        </w:rPr>
        <w:t xml:space="preserve">. Установлен памятник-звезда» </w:t>
      </w:r>
      <w:r>
        <w:rPr>
          <w:b/>
          <w:sz w:val="28"/>
          <w:szCs w:val="28"/>
        </w:rPr>
        <w:t xml:space="preserve">по адресу: Ленинградская область, Сланцевский муниципальный район, Сланцевское городское поселение, город Сланцы, улица Ленина, 1А, сооружение 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6"/>
        <w:contextual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contextualSpacing/>
        <w:ind w:right="-1"/>
        <w:jc w:val="center"/>
        <w:rPr>
          <w:sz w:val="28"/>
          <w:szCs w:val="28"/>
          <w:highlight w:val="none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SHAPE  \* MERGEFORMAT </w:instrText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95015" cy="3304540"/>
                <wp:effectExtent l="0" t="0" r="0" b="0"/>
                <wp:docPr id="4" name="_x0000_s118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03819711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295013" cy="33045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59.45pt;height:260.20pt;mso-wrap-distance-left:0.00pt;mso-wrap-distance-top:0.00pt;mso-wrap-distance-right:0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contextualSpacing/>
        <w:ind w:right="-1"/>
        <w:jc w:val="center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726"/>
        <w:contextualSpacing/>
        <w:ind w:right="-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>
        <w:tblPrEx/>
        <w:trPr/>
        <w:tc>
          <w:tcPr>
            <w:tcW w:w="3473" w:type="dxa"/>
            <w:vAlign w:val="center"/>
            <w:textDirection w:val="lrTb"/>
            <w:noWrap w:val="false"/>
          </w:tcPr>
          <w:p>
            <w:pPr>
              <w:pStyle w:val="726"/>
              <w:contextualSpacing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Обозначение (номер) характерной точки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726"/>
              <w:contextualSpacing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Широта (Х)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center"/>
            <w:textDirection w:val="lrTb"/>
            <w:noWrap w:val="false"/>
          </w:tcPr>
          <w:p>
            <w:pPr>
              <w:pStyle w:val="726"/>
              <w:contextualSpacing/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Долгота (</w:t>
            </w:r>
            <w:r>
              <w:rPr>
                <w:sz w:val="28"/>
                <w:szCs w:val="28"/>
                <w:lang w:val="en-US"/>
              </w:rPr>
              <w:t xml:space="preserve">Y</w:t>
            </w:r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726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1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344 898,29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1 257 718,99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726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 xml:space="preserve">2</w:t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  <w:r>
              <w:rPr>
                <w:rFonts w:eastAsia="Calibri"/>
                <w:sz w:val="28"/>
                <w:szCs w:val="28"/>
                <w:lang w:val="en-US" w:eastAsia="en-US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344 906,42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1 257 718,04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726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3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344 907,24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1 257 727,21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3473" w:type="dxa"/>
            <w:vAlign w:val="top"/>
            <w:textDirection w:val="lrTb"/>
            <w:noWrap w:val="false"/>
          </w:tcPr>
          <w:p>
            <w:pPr>
              <w:pStyle w:val="726"/>
              <w:contextualSpacing/>
              <w:ind w:right="-1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4</w:t>
            </w:r>
            <w:r>
              <w:rPr>
                <w:rFonts w:eastAsia="Calibri"/>
                <w:sz w:val="28"/>
                <w:szCs w:val="28"/>
                <w:lang w:eastAsia="en-US"/>
              </w:rPr>
            </w: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344 899,26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47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1 257 728,04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726"/>
        <w:contextualSpacing/>
        <w:ind w:right="-1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Определение географических координат характерных точек границы территории объекта культурного наследия выполне</w:t>
      </w:r>
      <w:r>
        <w:rPr>
          <w:sz w:val="28"/>
          <w:szCs w:val="28"/>
        </w:rPr>
        <w:t xml:space="preserve">но в местной системе координат </w:t>
      </w:r>
      <w:r>
        <w:rPr>
          <w:sz w:val="28"/>
          <w:szCs w:val="28"/>
        </w:rPr>
        <w:t xml:space="preserve">СК-</w:t>
      </w:r>
      <w:r>
        <w:rPr>
          <w:sz w:val="28"/>
          <w:szCs w:val="28"/>
        </w:rPr>
        <w:t xml:space="preserve">47</w:t>
      </w:r>
      <w:r>
        <w:rPr>
          <w:sz w:val="28"/>
          <w:szCs w:val="28"/>
        </w:rPr>
        <w:t xml:space="preserve">_                  зона 1.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6"/>
        <w:ind w:right="-1"/>
        <w:jc w:val="center"/>
        <w:tabs>
          <w:tab w:val="left" w:pos="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br w:type="page" w:clear="all"/>
      </w:r>
      <w:r>
        <w:rPr>
          <w:b/>
          <w:sz w:val="28"/>
          <w:szCs w:val="28"/>
        </w:rPr>
        <w:t xml:space="preserve">Режим использования территории объекта культурного наследия </w:t>
      </w:r>
      <w:r>
        <w:rPr>
          <w:b/>
          <w:color w:val="000000"/>
          <w:sz w:val="28"/>
          <w:szCs w:val="28"/>
        </w:rPr>
        <w:t xml:space="preserve">регионального значения </w:t>
      </w: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Памятное м</w:t>
      </w:r>
      <w:r>
        <w:rPr>
          <w:b/>
          <w:sz w:val="28"/>
          <w:szCs w:val="28"/>
        </w:rPr>
        <w:t xml:space="preserve">есто, где захоронены партизаны, погибшие при эвакуации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1941-</w:t>
      </w:r>
      <w:r>
        <w:rPr>
          <w:b/>
          <w:sz w:val="28"/>
          <w:szCs w:val="28"/>
        </w:rPr>
        <w:t xml:space="preserve">19</w:t>
      </w:r>
      <w:r>
        <w:rPr>
          <w:b/>
          <w:sz w:val="28"/>
          <w:szCs w:val="28"/>
        </w:rPr>
        <w:t xml:space="preserve">44 гг</w:t>
      </w:r>
      <w:r>
        <w:rPr>
          <w:b/>
          <w:sz w:val="28"/>
          <w:szCs w:val="28"/>
        </w:rPr>
        <w:t xml:space="preserve">. Установлен памятник-звезда»                     </w:t>
      </w:r>
      <w:r>
        <w:rPr>
          <w:b/>
          <w:sz w:val="28"/>
          <w:szCs w:val="28"/>
        </w:rPr>
        <w:t xml:space="preserve">по адресу: Ленинградская область, Сланцевский муниципальный район, Сланцевское городское поселение, город Сланцы, улица Ленина, 1А, сооружение 1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6"/>
        <w:contextualSpacing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Памятника</w:t>
      </w:r>
      <w:r>
        <w:rPr>
          <w:b/>
          <w:sz w:val="28"/>
          <w:szCs w:val="28"/>
        </w:rPr>
        <w:t xml:space="preserve"> разрешается: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работ по сохранению объекта культурного наследия </w:t>
      </w: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(меры, направленные на обеспечение физическ</w:t>
      </w:r>
      <w:r>
        <w:rPr>
          <w:sz w:val="28"/>
          <w:szCs w:val="28"/>
        </w:rPr>
        <w:t xml:space="preserve">ой сохранности и сохранение историко-культурной ценности объекта культурного наследия, предусматривающие консервацию, ремонт, реставрацию, включающие в себя научно-исследовательские, изыскательские, проектные и производственные работы, научное руководство </w:t>
      </w:r>
      <w:r>
        <w:rPr>
          <w:sz w:val="28"/>
          <w:szCs w:val="28"/>
        </w:rPr>
        <w:t xml:space="preserve">                  за </w:t>
      </w:r>
      <w:r>
        <w:rPr>
          <w:sz w:val="28"/>
          <w:szCs w:val="28"/>
        </w:rPr>
        <w:t xml:space="preserve">проведением работ по сохранению объекта культурного наследия, технический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и авторский надзор за проведением этих работ);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реконструкция, ремонт инженерных коммуникаций, благоустройство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озеленение, установка малых архитектурных форм, иная хозяйственная деятельность (по согласованию с региональным органом охраны объектов культурного наследия), не проти</w:t>
      </w:r>
      <w:r>
        <w:rPr>
          <w:sz w:val="28"/>
          <w:szCs w:val="28"/>
        </w:rPr>
        <w:t xml:space="preserve">воречащая требованиям обеспечения сохранности объекта культурного наследия и позволяющая обеспечить функционирование объекта культурного наследия в современных условиях, обеспечивающая недопущение ухудшения состояния территории объекта культурного наследия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 xml:space="preserve">Памятни</w:t>
      </w:r>
      <w:r>
        <w:rPr>
          <w:b/>
          <w:sz w:val="28"/>
          <w:szCs w:val="28"/>
        </w:rPr>
        <w:t xml:space="preserve">к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запрещается: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72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строительство объектов капитального строительства;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проведение земляных, строительных, мелиоративных работ и иных работ, 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за исключением работ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сохранению объекта культурного наследия или его отдельных элементов, сохранению историко-градостроительной или природной среды объекта культурного наследия;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установка рекламных конструкций, распространение наружной рекламы;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любых видов деятельности, ухудшающих экологические условия и гидрологический режим на территории объекта культурного наследия, создающих вибрационные нагрузки динамическим воздействием на грунты в зоне их взаимодействия с объект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культурного наследия.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26"/>
        <w:ind w:right="14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5812" w:right="-1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603000000000000"/>
  </w:font>
  <w:font w:name="Symbol">
    <w:panose1 w:val="05010000000000000000"/>
  </w:font>
  <w:font w:name="Bookman Old Style">
    <w:panose1 w:val="02060603050605020204"/>
  </w:font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MS Mincho">
    <w:panose1 w:val="02020603050405090304"/>
  </w:font>
  <w:font w:name="Wingdings">
    <w:panose1 w:val="05010000000000000000"/>
  </w:font>
  <w:font w:name="Franklin Gothic Book">
    <w:panose1 w:val="020B0603020202020204"/>
  </w:font>
  <w:font w:name="Verdan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0" w:hanging="360"/>
        <w:tabs>
          <w:tab w:val="num" w:pos="12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980" w:hanging="360"/>
        <w:tabs>
          <w:tab w:val="num" w:pos="19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700" w:hanging="180"/>
        <w:tabs>
          <w:tab w:val="num" w:pos="27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420" w:hanging="360"/>
        <w:tabs>
          <w:tab w:val="num" w:pos="34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140" w:hanging="360"/>
        <w:tabs>
          <w:tab w:val="num" w:pos="41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860" w:hanging="180"/>
        <w:tabs>
          <w:tab w:val="num" w:pos="48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580" w:hanging="360"/>
        <w:tabs>
          <w:tab w:val="num" w:pos="55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300" w:hanging="360"/>
        <w:tabs>
          <w:tab w:val="num" w:pos="63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020" w:hanging="180"/>
        <w:tabs>
          <w:tab w:val="num" w:pos="7020" w:leader="none"/>
        </w:tabs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1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5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644" w:hanging="360"/>
      </w:pPr>
      <w:rPr>
        <w:rFonts w:ascii="Courier New" w:hAnsi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79" w:hanging="912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18"/>
  </w:num>
  <w:num w:numId="6">
    <w:abstractNumId w:val="16"/>
  </w:num>
  <w:num w:numId="7">
    <w:abstractNumId w:val="0"/>
  </w:num>
  <w:num w:numId="8">
    <w:abstractNumId w:val="5"/>
  </w:num>
  <w:num w:numId="9">
    <w:abstractNumId w:val="14"/>
  </w:num>
  <w:num w:numId="10">
    <w:abstractNumId w:val="11"/>
  </w:num>
  <w:num w:numId="11">
    <w:abstractNumId w:val="8"/>
  </w:num>
  <w:num w:numId="12">
    <w:abstractNumId w:val="13"/>
  </w:num>
  <w:num w:numId="13">
    <w:abstractNumId w:val="9"/>
  </w:num>
  <w:num w:numId="14">
    <w:abstractNumId w:val="2"/>
  </w:num>
  <w:num w:numId="15">
    <w:abstractNumId w:val="15"/>
  </w:num>
  <w:num w:numId="16">
    <w:abstractNumId w:val="10"/>
  </w:num>
  <w:num w:numId="17">
    <w:abstractNumId w:val="17"/>
  </w:num>
  <w:num w:numId="18">
    <w:abstractNumId w:val="12"/>
  </w:num>
  <w:num w:numId="19">
    <w:abstractNumId w:val="7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8">
    <w:name w:val="Heading 1 Char"/>
    <w:basedOn w:val="736"/>
    <w:link w:val="727"/>
    <w:uiPriority w:val="9"/>
    <w:rPr>
      <w:rFonts w:ascii="Arial" w:hAnsi="Arial" w:eastAsia="Arial" w:cs="Arial"/>
      <w:sz w:val="40"/>
      <w:szCs w:val="40"/>
    </w:rPr>
  </w:style>
  <w:style w:type="character" w:styleId="719">
    <w:name w:val="Title Char"/>
    <w:basedOn w:val="736"/>
    <w:link w:val="749"/>
    <w:uiPriority w:val="10"/>
    <w:rPr>
      <w:sz w:val="48"/>
      <w:szCs w:val="48"/>
    </w:rPr>
  </w:style>
  <w:style w:type="character" w:styleId="720">
    <w:name w:val="Subtitle Char"/>
    <w:basedOn w:val="736"/>
    <w:link w:val="751"/>
    <w:uiPriority w:val="11"/>
    <w:rPr>
      <w:sz w:val="24"/>
      <w:szCs w:val="24"/>
    </w:rPr>
  </w:style>
  <w:style w:type="character" w:styleId="721">
    <w:name w:val="Quote Char"/>
    <w:link w:val="753"/>
    <w:uiPriority w:val="29"/>
    <w:rPr>
      <w:i/>
    </w:rPr>
  </w:style>
  <w:style w:type="character" w:styleId="722">
    <w:name w:val="Intense Quote Char"/>
    <w:link w:val="755"/>
    <w:uiPriority w:val="30"/>
    <w:rPr>
      <w:i/>
    </w:rPr>
  </w:style>
  <w:style w:type="character" w:styleId="723">
    <w:name w:val="Caption Char"/>
    <w:basedOn w:val="736"/>
    <w:link w:val="761"/>
    <w:uiPriority w:val="35"/>
    <w:rPr>
      <w:b/>
      <w:bCs/>
      <w:color w:val="4f81bd" w:themeColor="accent1"/>
      <w:sz w:val="18"/>
      <w:szCs w:val="18"/>
    </w:rPr>
  </w:style>
  <w:style w:type="character" w:styleId="724">
    <w:name w:val="Footnote Text Char"/>
    <w:link w:val="890"/>
    <w:uiPriority w:val="99"/>
    <w:rPr>
      <w:sz w:val="18"/>
    </w:rPr>
  </w:style>
  <w:style w:type="character" w:styleId="725">
    <w:name w:val="Endnote Text Char"/>
    <w:link w:val="893"/>
    <w:uiPriority w:val="99"/>
    <w:rPr>
      <w:sz w:val="20"/>
    </w:rPr>
  </w:style>
  <w:style w:type="paragraph" w:styleId="726" w:default="1">
    <w:name w:val="Normal"/>
    <w:qFormat/>
    <w:rPr>
      <w:sz w:val="24"/>
      <w:szCs w:val="24"/>
      <w:lang w:eastAsia="ru-RU"/>
    </w:rPr>
  </w:style>
  <w:style w:type="paragraph" w:styleId="727">
    <w:name w:val="Heading 1"/>
    <w:basedOn w:val="726"/>
    <w:next w:val="726"/>
    <w:link w:val="739"/>
    <w:qFormat/>
    <w:pPr>
      <w:jc w:val="center"/>
      <w:keepNext/>
      <w:outlineLvl w:val="0"/>
    </w:pPr>
    <w:rPr>
      <w:b/>
      <w:sz w:val="22"/>
      <w:szCs w:val="20"/>
    </w:rPr>
  </w:style>
  <w:style w:type="paragraph" w:styleId="728">
    <w:name w:val="Heading 2"/>
    <w:basedOn w:val="726"/>
    <w:next w:val="726"/>
    <w:link w:val="918"/>
    <w:qFormat/>
    <w:pPr>
      <w:jc w:val="both"/>
      <w:keepNext/>
      <w:outlineLvl w:val="1"/>
    </w:pPr>
    <w:rPr>
      <w:sz w:val="28"/>
      <w:szCs w:val="20"/>
      <w:lang w:val="en-US" w:eastAsia="en-US"/>
    </w:rPr>
  </w:style>
  <w:style w:type="paragraph" w:styleId="729">
    <w:name w:val="Heading 3"/>
    <w:basedOn w:val="726"/>
    <w:next w:val="726"/>
    <w:link w:val="919"/>
    <w:qFormat/>
    <w:pPr>
      <w:ind w:right="-381"/>
      <w:keepNext/>
      <w:tabs>
        <w:tab w:val="left" w:pos="-142" w:leader="none"/>
      </w:tabs>
      <w:outlineLvl w:val="2"/>
    </w:pPr>
    <w:rPr>
      <w:sz w:val="28"/>
      <w:szCs w:val="20"/>
      <w:lang w:val="en-US" w:eastAsia="en-US"/>
    </w:rPr>
  </w:style>
  <w:style w:type="paragraph" w:styleId="730">
    <w:name w:val="Heading 4"/>
    <w:basedOn w:val="726"/>
    <w:next w:val="726"/>
    <w:link w:val="915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paragraph" w:styleId="731">
    <w:name w:val="Heading 5"/>
    <w:basedOn w:val="726"/>
    <w:next w:val="726"/>
    <w:link w:val="920"/>
    <w:qFormat/>
    <w:pPr>
      <w:ind w:right="567"/>
      <w:keepNext/>
      <w:tabs>
        <w:tab w:val="left" w:pos="-142" w:leader="none"/>
      </w:tabs>
      <w:outlineLvl w:val="4"/>
    </w:pPr>
    <w:rPr>
      <w:sz w:val="28"/>
      <w:szCs w:val="20"/>
      <w:lang w:val="en-US" w:eastAsia="en-US"/>
    </w:rPr>
  </w:style>
  <w:style w:type="paragraph" w:styleId="732">
    <w:name w:val="Heading 6"/>
    <w:basedOn w:val="726"/>
    <w:next w:val="726"/>
    <w:link w:val="921"/>
    <w:qFormat/>
    <w:pPr>
      <w:ind w:left="112" w:hanging="112"/>
      <w:keepNext/>
      <w:outlineLvl w:val="5"/>
    </w:pPr>
    <w:rPr>
      <w:color w:val="000000"/>
      <w:szCs w:val="20"/>
      <w:lang w:val="en-US" w:eastAsia="en-US"/>
    </w:rPr>
  </w:style>
  <w:style w:type="paragraph" w:styleId="733">
    <w:name w:val="Heading 7"/>
    <w:basedOn w:val="726"/>
    <w:next w:val="726"/>
    <w:link w:val="922"/>
    <w:qFormat/>
    <w:pPr>
      <w:jc w:val="center"/>
      <w:keepNext/>
      <w:outlineLvl w:val="6"/>
    </w:pPr>
    <w:rPr>
      <w:b/>
      <w:color w:val="000000"/>
      <w:szCs w:val="20"/>
      <w:lang w:val="en-US" w:eastAsia="en-US"/>
    </w:rPr>
  </w:style>
  <w:style w:type="paragraph" w:styleId="734">
    <w:name w:val="Heading 8"/>
    <w:basedOn w:val="726"/>
    <w:next w:val="726"/>
    <w:link w:val="923"/>
    <w:qFormat/>
    <w:pPr>
      <w:ind w:right="-99"/>
      <w:keepNext/>
      <w:outlineLvl w:val="7"/>
    </w:pPr>
    <w:rPr>
      <w:b/>
      <w:sz w:val="28"/>
      <w:szCs w:val="20"/>
      <w:lang w:val="en-US" w:eastAsia="en-US"/>
    </w:rPr>
  </w:style>
  <w:style w:type="paragraph" w:styleId="735">
    <w:name w:val="Heading 9"/>
    <w:basedOn w:val="726"/>
    <w:next w:val="726"/>
    <w:link w:val="924"/>
    <w:qFormat/>
    <w:pPr>
      <w:jc w:val="both"/>
      <w:keepNext/>
      <w:outlineLvl w:val="8"/>
    </w:pPr>
    <w:rPr>
      <w:b/>
      <w:sz w:val="28"/>
      <w:szCs w:val="20"/>
      <w:lang w:val="en-US" w:eastAsia="en-US"/>
    </w:rPr>
  </w:style>
  <w:style w:type="character" w:styleId="736" w:default="1">
    <w:name w:val="Default Paragraph Font"/>
    <w:uiPriority w:val="1"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Заголовок 1 Знак"/>
    <w:link w:val="727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Heading 2 Char"/>
    <w:uiPriority w:val="9"/>
    <w:rPr>
      <w:rFonts w:ascii="Arial" w:hAnsi="Arial" w:eastAsia="Arial" w:cs="Arial"/>
      <w:sz w:val="34"/>
    </w:rPr>
  </w:style>
  <w:style w:type="character" w:styleId="74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48">
    <w:name w:val="No Spacing"/>
    <w:uiPriority w:val="1"/>
    <w:qFormat/>
  </w:style>
  <w:style w:type="paragraph" w:styleId="749">
    <w:name w:val="Title"/>
    <w:basedOn w:val="726"/>
    <w:next w:val="726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 w:customStyle="1">
    <w:name w:val="Заголовок Знак"/>
    <w:link w:val="749"/>
    <w:uiPriority w:val="10"/>
    <w:rPr>
      <w:sz w:val="48"/>
      <w:szCs w:val="48"/>
    </w:rPr>
  </w:style>
  <w:style w:type="paragraph" w:styleId="751">
    <w:name w:val="Subtitle"/>
    <w:basedOn w:val="726"/>
    <w:next w:val="726"/>
    <w:link w:val="752"/>
    <w:uiPriority w:val="11"/>
    <w:qFormat/>
    <w:pPr>
      <w:spacing w:before="200" w:after="200"/>
    </w:pPr>
  </w:style>
  <w:style w:type="character" w:styleId="752" w:customStyle="1">
    <w:name w:val="Подзаголовок Знак"/>
    <w:link w:val="751"/>
    <w:uiPriority w:val="11"/>
    <w:rPr>
      <w:sz w:val="24"/>
      <w:szCs w:val="24"/>
    </w:rPr>
  </w:style>
  <w:style w:type="paragraph" w:styleId="753">
    <w:name w:val="Quote"/>
    <w:basedOn w:val="726"/>
    <w:next w:val="726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26"/>
    <w:next w:val="726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26"/>
    <w:link w:val="930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758" w:customStyle="1">
    <w:name w:val="Header Char"/>
    <w:uiPriority w:val="99"/>
  </w:style>
  <w:style w:type="paragraph" w:styleId="759">
    <w:name w:val="Footer"/>
    <w:basedOn w:val="726"/>
    <w:link w:val="933"/>
    <w:uiPriority w:val="99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760" w:customStyle="1">
    <w:name w:val="Footer Char"/>
    <w:uiPriority w:val="99"/>
  </w:style>
  <w:style w:type="paragraph" w:styleId="761">
    <w:name w:val="Caption"/>
    <w:basedOn w:val="726"/>
    <w:next w:val="726"/>
    <w:link w:val="76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2" w:customStyle="1">
    <w:name w:val="Название объекта Знак"/>
    <w:link w:val="761"/>
    <w:uiPriority w:val="35"/>
    <w:rPr>
      <w:b/>
      <w:bCs/>
      <w:color w:val="4f81bd" w:themeColor="accent1"/>
      <w:sz w:val="18"/>
      <w:szCs w:val="18"/>
    </w:rPr>
  </w:style>
  <w:style w:type="table" w:styleId="763">
    <w:name w:val="Table Grid"/>
    <w:basedOn w:val="737"/>
    <w:tblPr/>
  </w:style>
  <w:style w:type="table" w:styleId="76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5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7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8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0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9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9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98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5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0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0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0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3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5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5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5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5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8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8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8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89">
    <w:name w:val="Hyperlink"/>
    <w:uiPriority w:val="99"/>
    <w:unhideWhenUsed/>
    <w:rPr>
      <w:color w:val="0000ff" w:themeColor="hyperlink"/>
      <w:u w:val="single"/>
    </w:rPr>
  </w:style>
  <w:style w:type="paragraph" w:styleId="890">
    <w:name w:val="footnote text"/>
    <w:basedOn w:val="726"/>
    <w:link w:val="891"/>
    <w:uiPriority w:val="99"/>
    <w:semiHidden/>
    <w:unhideWhenUsed/>
    <w:pPr>
      <w:spacing w:after="40"/>
    </w:pPr>
    <w:rPr>
      <w:sz w:val="18"/>
    </w:rPr>
  </w:style>
  <w:style w:type="character" w:styleId="891" w:customStyle="1">
    <w:name w:val="Текст сноски Знак"/>
    <w:link w:val="890"/>
    <w:uiPriority w:val="99"/>
    <w:rPr>
      <w:sz w:val="18"/>
    </w:rPr>
  </w:style>
  <w:style w:type="character" w:styleId="892">
    <w:name w:val="footnote reference"/>
    <w:uiPriority w:val="99"/>
    <w:unhideWhenUsed/>
    <w:rPr>
      <w:vertAlign w:val="superscript"/>
    </w:rPr>
  </w:style>
  <w:style w:type="paragraph" w:styleId="893">
    <w:name w:val="endnote text"/>
    <w:basedOn w:val="726"/>
    <w:link w:val="894"/>
    <w:uiPriority w:val="99"/>
    <w:semiHidden/>
    <w:unhideWhenUsed/>
    <w:rPr>
      <w:sz w:val="20"/>
    </w:rPr>
  </w:style>
  <w:style w:type="character" w:styleId="894" w:customStyle="1">
    <w:name w:val="Текст концевой сноски Знак"/>
    <w:link w:val="893"/>
    <w:uiPriority w:val="99"/>
    <w:rPr>
      <w:sz w:val="20"/>
    </w:rPr>
  </w:style>
  <w:style w:type="character" w:styleId="895">
    <w:name w:val="endnote reference"/>
    <w:uiPriority w:val="99"/>
    <w:semiHidden/>
    <w:unhideWhenUsed/>
    <w:rPr>
      <w:vertAlign w:val="superscript"/>
    </w:rPr>
  </w:style>
  <w:style w:type="paragraph" w:styleId="896">
    <w:name w:val="toc 1"/>
    <w:basedOn w:val="726"/>
    <w:next w:val="726"/>
    <w:uiPriority w:val="39"/>
    <w:unhideWhenUsed/>
    <w:pPr>
      <w:spacing w:after="57"/>
    </w:pPr>
  </w:style>
  <w:style w:type="paragraph" w:styleId="897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898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899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900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901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02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03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04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05">
    <w:name w:val="TOC Heading"/>
    <w:uiPriority w:val="39"/>
    <w:unhideWhenUsed/>
  </w:style>
  <w:style w:type="paragraph" w:styleId="906">
    <w:name w:val="table of figures"/>
    <w:basedOn w:val="726"/>
    <w:next w:val="726"/>
    <w:uiPriority w:val="99"/>
    <w:unhideWhenUsed/>
  </w:style>
  <w:style w:type="paragraph" w:styleId="907" w:customStyle="1">
    <w:name w:val="Знак Знак1 Знак Знак"/>
    <w:basedOn w:val="726"/>
    <w:pPr>
      <w:keepLines/>
      <w:spacing w:after="160" w:line="240" w:lineRule="exact"/>
    </w:pPr>
    <w:rPr>
      <w:rFonts w:ascii="Verdana" w:hAnsi="Verdana" w:eastAsia="MS Mincho" w:cs="Franklin Gothic Book"/>
      <w:sz w:val="20"/>
      <w:szCs w:val="20"/>
      <w:lang w:val="en-US" w:eastAsia="en-US"/>
    </w:rPr>
  </w:style>
  <w:style w:type="paragraph" w:styleId="908" w:customStyle="1">
    <w:name w:val="ConsPlusNonformat"/>
    <w:pPr>
      <w:widowControl w:val="off"/>
    </w:pPr>
    <w:rPr>
      <w:rFonts w:ascii="Courier New" w:hAnsi="Courier New" w:cs="Courier New"/>
      <w:lang w:eastAsia="ru-RU"/>
    </w:rPr>
  </w:style>
  <w:style w:type="paragraph" w:styleId="909">
    <w:name w:val="List Paragraph"/>
    <w:basedOn w:val="726"/>
    <w:uiPriority w:val="34"/>
    <w:qFormat/>
    <w:pPr>
      <w:contextualSpacing/>
      <w:ind w:left="720"/>
    </w:pPr>
  </w:style>
  <w:style w:type="paragraph" w:styleId="910">
    <w:name w:val="Balloon Text"/>
    <w:basedOn w:val="726"/>
    <w:link w:val="911"/>
    <w:rPr>
      <w:rFonts w:ascii="Tahoma" w:hAnsi="Tahoma"/>
      <w:sz w:val="16"/>
      <w:szCs w:val="16"/>
      <w:lang w:val="en-US" w:eastAsia="en-US"/>
    </w:rPr>
  </w:style>
  <w:style w:type="character" w:styleId="911" w:customStyle="1">
    <w:name w:val="Текст выноски Знак"/>
    <w:link w:val="910"/>
    <w:rPr>
      <w:rFonts w:ascii="Tahoma" w:hAnsi="Tahoma" w:cs="Tahoma"/>
      <w:sz w:val="16"/>
      <w:szCs w:val="16"/>
    </w:rPr>
  </w:style>
  <w:style w:type="paragraph" w:styleId="912">
    <w:name w:val="Body Text Indent"/>
    <w:basedOn w:val="726"/>
    <w:link w:val="913"/>
    <w:pPr>
      <w:ind w:left="-284"/>
      <w:jc w:val="center"/>
      <w:spacing w:before="60"/>
    </w:pPr>
    <w:rPr>
      <w:b/>
      <w:spacing w:val="30"/>
      <w:szCs w:val="20"/>
      <w:lang w:val="en-US" w:eastAsia="en-US"/>
    </w:rPr>
  </w:style>
  <w:style w:type="character" w:styleId="913" w:customStyle="1">
    <w:name w:val="Основной текст с отступом Знак"/>
    <w:link w:val="912"/>
    <w:rPr>
      <w:b/>
      <w:spacing w:val="30"/>
      <w:sz w:val="24"/>
      <w:lang w:val="en-US" w:eastAsia="en-US"/>
    </w:rPr>
  </w:style>
  <w:style w:type="paragraph" w:styleId="914" w:customStyle="1">
    <w:name w:val="Знак Знак Знак1 Знак Знак Знак Знак Знак Знак1 Знак Знак Знак Знак"/>
    <w:basedOn w:val="726"/>
    <w:pPr>
      <w:keepLines/>
      <w:spacing w:after="160" w:line="240" w:lineRule="exact"/>
    </w:pPr>
    <w:rPr>
      <w:rFonts w:ascii="Verdana" w:hAnsi="Verdana" w:eastAsia="MS Mincho" w:cs="Verdana"/>
      <w:sz w:val="20"/>
      <w:szCs w:val="20"/>
      <w:lang w:val="en-US" w:eastAsia="en-US"/>
    </w:rPr>
  </w:style>
  <w:style w:type="character" w:styleId="915" w:customStyle="1">
    <w:name w:val="Заголовок 4 Знак"/>
    <w:link w:val="730"/>
    <w:semiHidden/>
    <w:rPr>
      <w:rFonts w:ascii="Calibri" w:hAnsi="Calibri" w:eastAsia="Times New Roman" w:cs="Times New Roman"/>
      <w:b/>
      <w:bCs/>
      <w:sz w:val="28"/>
      <w:szCs w:val="28"/>
    </w:rPr>
  </w:style>
  <w:style w:type="paragraph" w:styleId="916">
    <w:name w:val="Body Text"/>
    <w:basedOn w:val="726"/>
    <w:link w:val="917"/>
    <w:pPr>
      <w:spacing w:after="120"/>
    </w:pPr>
    <w:rPr>
      <w:lang w:val="en-US" w:eastAsia="en-US"/>
    </w:rPr>
  </w:style>
  <w:style w:type="character" w:styleId="917" w:customStyle="1">
    <w:name w:val="Основной текст Знак"/>
    <w:link w:val="916"/>
    <w:rPr>
      <w:sz w:val="24"/>
      <w:szCs w:val="24"/>
    </w:rPr>
  </w:style>
  <w:style w:type="character" w:styleId="918" w:customStyle="1">
    <w:name w:val="Заголовок 2 Знак"/>
    <w:link w:val="728"/>
    <w:rPr>
      <w:sz w:val="28"/>
    </w:rPr>
  </w:style>
  <w:style w:type="character" w:styleId="919" w:customStyle="1">
    <w:name w:val="Заголовок 3 Знак"/>
    <w:link w:val="729"/>
    <w:rPr>
      <w:sz w:val="28"/>
    </w:rPr>
  </w:style>
  <w:style w:type="character" w:styleId="920" w:customStyle="1">
    <w:name w:val="Заголовок 5 Знак"/>
    <w:link w:val="731"/>
    <w:rPr>
      <w:sz w:val="28"/>
    </w:rPr>
  </w:style>
  <w:style w:type="character" w:styleId="921" w:customStyle="1">
    <w:name w:val="Заголовок 6 Знак"/>
    <w:link w:val="732"/>
    <w:rPr>
      <w:color w:val="000000"/>
      <w:sz w:val="24"/>
    </w:rPr>
  </w:style>
  <w:style w:type="character" w:styleId="922" w:customStyle="1">
    <w:name w:val="Заголовок 7 Знак"/>
    <w:link w:val="733"/>
    <w:rPr>
      <w:b/>
      <w:color w:val="000000"/>
      <w:sz w:val="24"/>
    </w:rPr>
  </w:style>
  <w:style w:type="character" w:styleId="923" w:customStyle="1">
    <w:name w:val="Заголовок 8 Знак"/>
    <w:link w:val="734"/>
    <w:rPr>
      <w:b/>
      <w:sz w:val="28"/>
    </w:rPr>
  </w:style>
  <w:style w:type="character" w:styleId="924" w:customStyle="1">
    <w:name w:val="Заголовок 9 Знак"/>
    <w:link w:val="735"/>
    <w:rPr>
      <w:b/>
      <w:sz w:val="28"/>
    </w:rPr>
  </w:style>
  <w:style w:type="paragraph" w:styleId="925">
    <w:name w:val="Body Text 2"/>
    <w:basedOn w:val="726"/>
    <w:link w:val="926"/>
    <w:pPr>
      <w:jc w:val="center"/>
    </w:pPr>
    <w:rPr>
      <w:sz w:val="32"/>
      <w:szCs w:val="20"/>
      <w:lang w:val="en-US" w:eastAsia="en-US"/>
    </w:rPr>
  </w:style>
  <w:style w:type="character" w:styleId="926" w:customStyle="1">
    <w:name w:val="Основной текст 2 Знак"/>
    <w:link w:val="925"/>
    <w:rPr>
      <w:sz w:val="32"/>
    </w:rPr>
  </w:style>
  <w:style w:type="paragraph" w:styleId="927">
    <w:name w:val="Block Text"/>
    <w:basedOn w:val="726"/>
    <w:pPr>
      <w:ind w:left="993" w:right="567" w:hanging="633"/>
    </w:pPr>
    <w:rPr>
      <w:sz w:val="28"/>
      <w:szCs w:val="20"/>
    </w:rPr>
  </w:style>
  <w:style w:type="paragraph" w:styleId="928">
    <w:name w:val="Body Text Indent 3"/>
    <w:basedOn w:val="726"/>
    <w:link w:val="929"/>
    <w:pPr>
      <w:ind w:left="28" w:hanging="28"/>
    </w:pPr>
    <w:rPr>
      <w:szCs w:val="20"/>
      <w:lang w:val="en-US" w:eastAsia="en-US"/>
    </w:rPr>
  </w:style>
  <w:style w:type="character" w:styleId="929" w:customStyle="1">
    <w:name w:val="Основной текст с отступом 3 Знак"/>
    <w:link w:val="928"/>
    <w:rPr>
      <w:sz w:val="24"/>
    </w:rPr>
  </w:style>
  <w:style w:type="character" w:styleId="930" w:customStyle="1">
    <w:name w:val="Верхний колонтитул Знак"/>
    <w:basedOn w:val="736"/>
    <w:link w:val="757"/>
  </w:style>
  <w:style w:type="paragraph" w:styleId="931">
    <w:name w:val="Body Text Indent 2"/>
    <w:basedOn w:val="726"/>
    <w:link w:val="932"/>
    <w:pPr>
      <w:ind w:firstLine="709"/>
      <w:jc w:val="both"/>
    </w:pPr>
    <w:rPr>
      <w:sz w:val="28"/>
      <w:szCs w:val="20"/>
      <w:lang w:val="en-US" w:eastAsia="en-US"/>
    </w:rPr>
  </w:style>
  <w:style w:type="character" w:styleId="932" w:customStyle="1">
    <w:name w:val="Основной текст с отступом 2 Знак"/>
    <w:link w:val="931"/>
    <w:rPr>
      <w:sz w:val="28"/>
    </w:rPr>
  </w:style>
  <w:style w:type="character" w:styleId="933" w:customStyle="1">
    <w:name w:val="Нижний колонтитул Знак"/>
    <w:basedOn w:val="736"/>
    <w:link w:val="759"/>
    <w:uiPriority w:val="99"/>
  </w:style>
  <w:style w:type="paragraph" w:styleId="934">
    <w:name w:val="Body Text 3"/>
    <w:basedOn w:val="726"/>
    <w:link w:val="935"/>
    <w:rPr>
      <w:sz w:val="28"/>
      <w:szCs w:val="20"/>
      <w:lang w:val="en-US" w:eastAsia="en-US"/>
    </w:rPr>
  </w:style>
  <w:style w:type="character" w:styleId="935" w:customStyle="1">
    <w:name w:val="Основной текст 3 Знак"/>
    <w:link w:val="934"/>
    <w:rPr>
      <w:sz w:val="28"/>
    </w:rPr>
  </w:style>
  <w:style w:type="paragraph" w:styleId="936">
    <w:name w:val="Document Map"/>
    <w:basedOn w:val="726"/>
    <w:link w:val="937"/>
    <w:pPr>
      <w:shd w:val="clear" w:color="auto" w:fill="000080"/>
    </w:pPr>
    <w:rPr>
      <w:rFonts w:ascii="Tahoma" w:hAnsi="Tahoma"/>
      <w:sz w:val="20"/>
      <w:szCs w:val="20"/>
      <w:lang w:val="en-US" w:eastAsia="en-US"/>
    </w:rPr>
  </w:style>
  <w:style w:type="character" w:styleId="937" w:customStyle="1">
    <w:name w:val="Схема документа Знак"/>
    <w:link w:val="936"/>
    <w:rPr>
      <w:rFonts w:ascii="Tahoma" w:hAnsi="Tahoma" w:cs="Tahoma"/>
      <w:shd w:val="clear" w:color="auto" w:fill="000080"/>
    </w:rPr>
  </w:style>
  <w:style w:type="character" w:styleId="938">
    <w:name w:val="page number"/>
  </w:style>
  <w:style w:type="paragraph" w:styleId="939" w:customStyle="1">
    <w:name w:val="Style5"/>
    <w:basedOn w:val="726"/>
    <w:pPr>
      <w:ind w:firstLine="734"/>
      <w:jc w:val="both"/>
      <w:spacing w:line="259" w:lineRule="exact"/>
      <w:widowControl w:val="off"/>
    </w:pPr>
    <w:rPr>
      <w:rFonts w:ascii="Bookman Old Style" w:hAnsi="Bookman Old Style" w:cs="Bookman Old Style"/>
    </w:rPr>
  </w:style>
  <w:style w:type="paragraph" w:styleId="940" w:customStyle="1">
    <w:name w:val="Style6"/>
    <w:basedOn w:val="726"/>
    <w:pPr>
      <w:spacing w:line="288" w:lineRule="exact"/>
      <w:widowControl w:val="off"/>
    </w:pPr>
    <w:rPr>
      <w:rFonts w:ascii="Bookman Old Style" w:hAnsi="Bookman Old Style" w:cs="Bookman Old Style"/>
    </w:rPr>
  </w:style>
  <w:style w:type="paragraph" w:styleId="941" w:customStyle="1">
    <w:name w:val="Style2"/>
    <w:basedOn w:val="726"/>
    <w:pPr>
      <w:widowControl w:val="off"/>
    </w:pPr>
  </w:style>
  <w:style w:type="paragraph" w:styleId="942" w:customStyle="1">
    <w:name w:val="Style7"/>
    <w:basedOn w:val="726"/>
    <w:pPr>
      <w:jc w:val="center"/>
      <w:spacing w:line="255" w:lineRule="exact"/>
      <w:widowControl w:val="off"/>
    </w:pPr>
  </w:style>
  <w:style w:type="character" w:styleId="943" w:customStyle="1">
    <w:name w:val="Font Style11"/>
    <w:rPr>
      <w:rFonts w:ascii="Times New Roman" w:hAnsi="Times New Roman" w:cs="Times New Roman"/>
      <w:sz w:val="22"/>
      <w:szCs w:val="22"/>
    </w:rPr>
  </w:style>
  <w:style w:type="character" w:styleId="944" w:customStyle="1">
    <w:name w:val="Font Style12"/>
    <w:rPr>
      <w:rFonts w:ascii="Times New Roman" w:hAnsi="Times New Roman" w:cs="Times New Roman"/>
      <w:sz w:val="20"/>
      <w:szCs w:val="20"/>
    </w:rPr>
  </w:style>
  <w:style w:type="paragraph" w:styleId="945" w:customStyle="1">
    <w:name w:val="Table Paragraph"/>
    <w:next w:val="739"/>
    <w:uiPriority w:val="1"/>
    <w:qFormat/>
    <w:pPr>
      <w:contextualSpacing w:val="0"/>
      <w:ind w:left="302" w:right="0" w:firstLine="0"/>
      <w:jc w:val="left"/>
      <w:keepLines w:val="0"/>
      <w:keepNext w:val="0"/>
      <w:pageBreakBefore w:val="0"/>
      <w:spacing w:before="0" w:beforeAutospacing="0" w:after="0" w:afterAutospacing="0" w:line="256" w:lineRule="exact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Слободская Е.</dc:creator>
  <cp:lastModifiedBy>mya_sherbakova</cp:lastModifiedBy>
  <cp:revision>11</cp:revision>
  <dcterms:created xsi:type="dcterms:W3CDTF">2025-12-13T19:37:00Z</dcterms:created>
  <dcterms:modified xsi:type="dcterms:W3CDTF">2025-12-22T08:58:11Z</dcterms:modified>
  <cp:version>917504</cp:version>
</cp:coreProperties>
</file>