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keepNext/>
        <w:rPr>
          <w:rFonts w:eastAsia="Times New Roman"/>
          <w:b/>
          <w:sz w:val="24"/>
          <w:szCs w:val="24"/>
          <w:lang w:eastAsia="ru-RU"/>
        </w:rPr>
        <w:outlineLvl w:val="1"/>
      </w:pPr>
      <w:r>
        <w:rPr>
          <w:rFonts w:eastAsia="Times New Roman"/>
          <w:b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0</wp:posOffset>
                </wp:positionV>
                <wp:extent cx="586105" cy="753110"/>
                <wp:effectExtent l="0" t="0" r="4445" b="8890"/>
                <wp:wrapSquare wrapText="bothSides"/>
                <wp:docPr id="1" name="Рисунок 2" descr="Герб ЛО чёрно-бел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Герб ЛО чёрно-бел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86105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31.70pt;mso-position-horizontal:absolute;mso-position-vertical-relative:text;margin-top:0.00pt;mso-position-vertical:absolute;width:46.15pt;height:59.30pt;mso-wrap-distance-left:9.00pt;mso-wrap-distance-top:0.00pt;mso-wrap-distance-right:9.00pt;mso-wrap-distance-bottom:0.00pt;" stroked="f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rFonts w:eastAsia="Times New Roman"/>
          <w:b/>
          <w:sz w:val="24"/>
          <w:szCs w:val="24"/>
          <w:lang w:eastAsia="ru-RU"/>
        </w:rPr>
        <w:br w:type="textWrapping" w:clear="all"/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szCs w:val="28"/>
          <w:highlight w:val="none"/>
          <w:lang w:eastAsia="ru-RU"/>
        </w:rPr>
      </w:r>
      <w:r>
        <w:rPr>
          <w:rFonts w:eastAsia="Times New Roman"/>
          <w:b/>
          <w:szCs w:val="28"/>
          <w:highlight w:val="none"/>
          <w:lang w:eastAsia="ru-RU"/>
        </w:rPr>
      </w:r>
    </w:p>
    <w:p>
      <w:pPr>
        <w:jc w:val="center"/>
        <w:rPr>
          <w:rFonts w:eastAsia="Times New Roman"/>
          <w:b/>
          <w:bCs/>
          <w:highlight w:val="none"/>
          <w:lang w:eastAsia="ru-RU"/>
        </w:rPr>
      </w:pPr>
      <w:r>
        <w:rPr>
          <w:rFonts w:eastAsia="Times New Roman"/>
          <w:b/>
          <w:szCs w:val="28"/>
          <w:highlight w:val="none"/>
          <w:lang w:eastAsia="ru-RU"/>
        </w:rPr>
      </w:r>
      <w:r>
        <w:rPr>
          <w:rFonts w:eastAsia="Times New Roman"/>
          <w:b/>
          <w:szCs w:val="28"/>
          <w:highlight w:val="none"/>
          <w:lang w:eastAsia="ru-RU"/>
        </w:rPr>
      </w:r>
    </w:p>
    <w:p>
      <w:pPr>
        <w:jc w:val="center"/>
        <w:rPr>
          <w:rFonts w:eastAsia="Times New Roman"/>
          <w:b/>
          <w:bCs/>
          <w:highlight w:val="none"/>
          <w:lang w:eastAsia="ru-RU"/>
        </w:rPr>
      </w:pPr>
      <w:r>
        <w:rPr>
          <w:rFonts w:eastAsia="Times New Roman"/>
          <w:b/>
          <w:szCs w:val="28"/>
          <w:highlight w:val="none"/>
          <w:lang w:eastAsia="ru-RU"/>
        </w:rPr>
      </w:r>
      <w:r>
        <w:rPr>
          <w:rFonts w:eastAsia="Times New Roman"/>
          <w:b/>
          <w:szCs w:val="28"/>
          <w:highlight w:val="none"/>
          <w:lang w:eastAsia="ru-RU"/>
        </w:rPr>
      </w:r>
    </w:p>
    <w:p>
      <w:pPr>
        <w:jc w:val="center"/>
        <w:rPr>
          <w:rFonts w:eastAsia="Times New Roman"/>
          <w:b/>
          <w:bCs/>
          <w:highlight w:val="none"/>
          <w:lang w:eastAsia="ru-RU"/>
        </w:rPr>
      </w:pPr>
      <w:r>
        <w:rPr>
          <w:rFonts w:eastAsia="Times New Roman"/>
          <w:b/>
          <w:szCs w:val="28"/>
          <w:highlight w:val="none"/>
          <w:lang w:eastAsia="ru-RU"/>
        </w:rPr>
      </w:r>
      <w:r>
        <w:rPr>
          <w:rFonts w:eastAsia="Times New Roman"/>
          <w:b/>
          <w:szCs w:val="28"/>
          <w:highlight w:val="none"/>
          <w:lang w:eastAsia="ru-RU"/>
        </w:rPr>
      </w:r>
    </w:p>
    <w:p>
      <w:pPr>
        <w:jc w:val="center"/>
        <w:rPr>
          <w:rFonts w:eastAsia="Times New Roman"/>
          <w:b/>
          <w:bCs/>
          <w:highlight w:val="none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КОМИТЕТ </w:t>
      </w:r>
      <w:r>
        <w:rPr>
          <w:rFonts w:eastAsia="Times New Roman"/>
          <w:b/>
          <w:bCs/>
          <w:highlight w:val="none"/>
          <w:lang w:eastAsia="ru-RU"/>
        </w:rPr>
      </w:r>
    </w:p>
    <w:p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ОБЩЕСТВЕННЫХ КОММУНИКАЦИЙ </w:t>
      </w:r>
      <w:r>
        <w:rPr>
          <w:rFonts w:eastAsia="Times New Roman"/>
          <w:b/>
          <w:szCs w:val="28"/>
          <w:lang w:eastAsia="ru-RU"/>
        </w:rPr>
      </w:r>
    </w:p>
    <w:p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ЛЕНИНГРАДСКОЙ ОБЛАСТИ</w:t>
      </w:r>
      <w:r>
        <w:rPr>
          <w:rFonts w:eastAsia="Times New Roman"/>
          <w:b/>
          <w:szCs w:val="28"/>
          <w:lang w:eastAsia="ru-RU"/>
        </w:rPr>
      </w:r>
    </w:p>
    <w:p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</w:r>
      <w:r>
        <w:rPr>
          <w:rFonts w:eastAsia="Times New Roman"/>
          <w:b/>
          <w:szCs w:val="28"/>
          <w:lang w:eastAsia="ru-RU"/>
        </w:rPr>
      </w:r>
    </w:p>
    <w:p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ПРИКАЗ</w:t>
      </w:r>
      <w:r>
        <w:rPr>
          <w:rFonts w:eastAsia="Times New Roman"/>
          <w:b/>
          <w:szCs w:val="28"/>
          <w:lang w:eastAsia="ru-RU"/>
        </w:rPr>
      </w:r>
    </w:p>
    <w:p>
      <w:pPr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</w:r>
      <w:r>
        <w:rPr>
          <w:rFonts w:eastAsia="Times New Roman"/>
          <w:b/>
          <w:sz w:val="32"/>
          <w:szCs w:val="32"/>
          <w:lang w:eastAsia="ru-RU"/>
        </w:rPr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393"/>
        <w:gridCol w:w="3970"/>
      </w:tblGrid>
      <w:tr>
        <w:tblPrEx/>
        <w:trPr>
          <w:trHeight w:val="95"/>
        </w:trPr>
        <w:tc>
          <w:tcPr>
            <w:tcW w:w="4393" w:type="dxa"/>
            <w:textDirection w:val="lrTb"/>
            <w:noWrap w:val="false"/>
          </w:tcPr>
          <w:p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от «____» ________202</w:t>
            </w:r>
            <w:r>
              <w:rPr>
                <w:rFonts w:eastAsia="Times New Roman"/>
                <w:szCs w:val="28"/>
                <w:lang w:eastAsia="ru-RU"/>
              </w:rPr>
              <w:t xml:space="preserve">6</w:t>
            </w:r>
            <w:r>
              <w:rPr>
                <w:rFonts w:eastAsia="Times New Roman"/>
                <w:szCs w:val="28"/>
                <w:lang w:eastAsia="ru-RU"/>
              </w:rPr>
              <w:t xml:space="preserve"> года</w:t>
            </w:r>
            <w:r>
              <w:rPr>
                <w:rFonts w:eastAsia="Times New Roman"/>
                <w:szCs w:val="28"/>
                <w:lang w:eastAsia="ru-RU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    № ____</w:t>
            </w:r>
            <w:r>
              <w:rPr>
                <w:rFonts w:eastAsia="Times New Roman"/>
                <w:szCs w:val="28"/>
                <w:lang w:eastAsia="ru-RU"/>
              </w:rPr>
            </w:r>
          </w:p>
        </w:tc>
      </w:tr>
    </w:tbl>
    <w:p>
      <w:pPr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</w:r>
      <w:r>
        <w:rPr>
          <w:rFonts w:eastAsia="Times New Roman"/>
          <w:b/>
          <w:szCs w:val="28"/>
          <w:lang w:eastAsia="ru-RU"/>
        </w:rPr>
      </w:r>
    </w:p>
    <w:p>
      <w:pPr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</w:r>
      <w:r>
        <w:rPr>
          <w:rFonts w:eastAsia="Times New Roman"/>
          <w:b/>
          <w:szCs w:val="28"/>
          <w:lang w:eastAsia="ru-RU"/>
        </w:rPr>
      </w:r>
    </w:p>
    <w:p>
      <w:pPr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</w:r>
      <w:r>
        <w:rPr>
          <w:rFonts w:eastAsia="Times New Roman"/>
          <w:b/>
          <w:szCs w:val="28"/>
          <w:lang w:eastAsia="ru-RU"/>
        </w:rPr>
      </w:r>
    </w:p>
    <w:p>
      <w:pPr>
        <w:pStyle w:val="706"/>
        <w:ind w:left="0" w:firstLine="709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О</w:t>
      </w:r>
      <w:r>
        <w:rPr>
          <w:rFonts w:eastAsia="Times New Roman"/>
          <w:b/>
          <w:szCs w:val="28"/>
          <w:lang w:eastAsia="ru-RU"/>
        </w:rPr>
        <w:t xml:space="preserve"> внесении из</w:t>
      </w:r>
      <w:r>
        <w:rPr>
          <w:rFonts w:eastAsia="Times New Roman"/>
          <w:b/>
          <w:szCs w:val="28"/>
          <w:lang w:eastAsia="ru-RU"/>
        </w:rPr>
        <w:t xml:space="preserve">менени</w:t>
      </w:r>
      <w:r>
        <w:rPr>
          <w:rFonts w:eastAsia="Times New Roman"/>
          <w:b/>
          <w:szCs w:val="28"/>
          <w:lang w:eastAsia="ru-RU"/>
        </w:rPr>
        <w:t xml:space="preserve">й</w:t>
      </w:r>
      <w:r>
        <w:rPr>
          <w:rFonts w:eastAsia="Times New Roman"/>
          <w:b/>
          <w:szCs w:val="28"/>
          <w:lang w:eastAsia="ru-RU"/>
        </w:rPr>
        <w:t xml:space="preserve"> в приказ </w:t>
      </w:r>
      <w:r>
        <w:rPr>
          <w:rFonts w:eastAsia="Times New Roman"/>
          <w:b/>
          <w:szCs w:val="28"/>
          <w:lang w:eastAsia="ru-RU"/>
        </w:rPr>
        <w:t xml:space="preserve">Комитета общественных коммуникаций Ленинградской области от 05 марта 2025 года № 1</w:t>
      </w:r>
      <w:r>
        <w:rPr>
          <w:rFonts w:eastAsia="Times New Roman"/>
          <w:b/>
          <w:szCs w:val="28"/>
          <w:lang w:eastAsia="ru-RU"/>
        </w:rPr>
      </w:r>
    </w:p>
    <w:p>
      <w:pPr>
        <w:pStyle w:val="706"/>
        <w:ind w:left="0" w:firstLine="709"/>
        <w:jc w:val="center"/>
        <w:rPr>
          <w:rFonts w:eastAsia="Calibri"/>
          <w:b/>
          <w:szCs w:val="28"/>
        </w:rPr>
      </w:pPr>
      <w:r>
        <w:rPr>
          <w:rFonts w:eastAsia="Times New Roman"/>
          <w:b/>
          <w:szCs w:val="28"/>
          <w:lang w:eastAsia="ru-RU"/>
        </w:rPr>
        <w:t xml:space="preserve"> «О</w:t>
      </w:r>
      <w:r>
        <w:rPr>
          <w:rFonts w:eastAsia="Times New Roman"/>
          <w:b/>
          <w:szCs w:val="28"/>
          <w:lang w:eastAsia="ru-RU"/>
        </w:rPr>
        <w:t xml:space="preserve">б утверждении перечня </w:t>
      </w:r>
      <w:r>
        <w:rPr>
          <w:rFonts w:eastAsia="Times New Roman"/>
          <w:b/>
          <w:szCs w:val="28"/>
          <w:lang w:eastAsia="ru-RU"/>
        </w:rPr>
        <w:t xml:space="preserve"> услуг (мероприятий), оказываемых (проводимых) </w:t>
      </w:r>
      <w:r>
        <w:rPr>
          <w:rFonts w:eastAsia="Calibri"/>
          <w:b/>
          <w:szCs w:val="28"/>
        </w:rPr>
        <w:t xml:space="preserve">социально ориентированными некоммерческими </w:t>
      </w:r>
      <w:r>
        <w:rPr>
          <w:rFonts w:eastAsia="Calibri"/>
          <w:b/>
          <w:szCs w:val="28"/>
        </w:rPr>
        <w:t xml:space="preserve">организациями</w:t>
      </w:r>
      <w:r>
        <w:rPr>
          <w:rFonts w:eastAsia="Calibri"/>
          <w:b/>
          <w:szCs w:val="28"/>
        </w:rPr>
        <w:t xml:space="preserve"> </w:t>
      </w:r>
      <w:r>
        <w:rPr>
          <w:rFonts w:eastAsia="Times New Roman"/>
          <w:b/>
          <w:szCs w:val="28"/>
          <w:lang w:eastAsia="ru-RU"/>
        </w:rPr>
        <w:t xml:space="preserve">в рамках направления </w:t>
      </w:r>
      <w:r>
        <w:rPr>
          <w:b/>
          <w:szCs w:val="28"/>
        </w:rPr>
        <w:t xml:space="preserve">«ресурсная поддержка - проект «Наставничество</w:t>
      </w:r>
      <w:r>
        <w:rPr>
          <w:b/>
          <w:szCs w:val="28"/>
        </w:rPr>
        <w:t xml:space="preserve">» </w:t>
      </w:r>
      <w:r>
        <w:rPr>
          <w:rFonts w:eastAsia="Calibri"/>
          <w:b/>
          <w:szCs w:val="28"/>
        </w:rPr>
        <w:t xml:space="preserve">в соответствии с </w:t>
      </w:r>
      <w:r>
        <w:rPr>
          <w:rFonts w:eastAsia="Calibri"/>
          <w:b/>
          <w:szCs w:val="28"/>
        </w:rPr>
        <w:t xml:space="preserve"> </w:t>
      </w:r>
      <w:r>
        <w:rPr>
          <w:rFonts w:eastAsia="Calibri"/>
          <w:b/>
          <w:szCs w:val="28"/>
        </w:rPr>
        <w:t xml:space="preserve">постановлением Правительства Ленинградской области  от 19 апреля 2021 года № 203</w:t>
      </w:r>
      <w:r>
        <w:rPr>
          <w:rFonts w:eastAsia="Calibri"/>
          <w:b/>
          <w:szCs w:val="28"/>
        </w:rPr>
        <w:t xml:space="preserve">»</w:t>
      </w:r>
      <w:r>
        <w:rPr>
          <w:rFonts w:eastAsia="Calibri"/>
          <w:b/>
          <w:szCs w:val="28"/>
        </w:rPr>
      </w:r>
    </w:p>
    <w:p>
      <w:pPr>
        <w:ind w:firstLine="708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</w:r>
      <w:r>
        <w:rPr>
          <w:rFonts w:eastAsia="Times New Roman"/>
          <w:b/>
          <w:szCs w:val="28"/>
          <w:lang w:eastAsia="ru-RU"/>
        </w:rPr>
      </w:r>
    </w:p>
    <w:p>
      <w:pPr>
        <w:pStyle w:val="719"/>
        <w:ind w:left="0" w:firstLine="567"/>
        <w:spacing w:before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целях актуализации перечня услуг (меропри</w:t>
      </w:r>
      <w:r>
        <w:rPr>
          <w:rFonts w:ascii="Times New Roman" w:hAnsi="Times New Roman"/>
          <w:sz w:val="28"/>
          <w:szCs w:val="28"/>
        </w:rPr>
        <w:t xml:space="preserve">ятий), оказываемых (проводимых) социально ориентированными некоммерческими организациями в рамках направления «ресурсная поддержка - проект «Наставничество» в соответствии с  постановлением Правительства Ленинградской области  от 19 апреля 2021 года № 203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ю: 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 </w:t>
      </w:r>
      <w:r>
        <w:rPr>
          <w:rFonts w:eastAsia="Times New Roman"/>
          <w:szCs w:val="28"/>
          <w:lang w:eastAsia="ru-RU"/>
        </w:rPr>
        <w:t xml:space="preserve">Внести </w:t>
      </w:r>
      <w:r>
        <w:rPr>
          <w:rFonts w:eastAsia="Times New Roman"/>
          <w:szCs w:val="28"/>
          <w:lang w:eastAsia="ru-RU"/>
        </w:rPr>
        <w:t xml:space="preserve">изменени</w:t>
      </w:r>
      <w:r>
        <w:rPr>
          <w:rFonts w:eastAsia="Times New Roman"/>
          <w:szCs w:val="28"/>
          <w:lang w:eastAsia="ru-RU"/>
        </w:rPr>
        <w:t xml:space="preserve">я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в приказ Комитета общественных коммуникаций Ленинградской области от 05 марта 2025 года № 1 «Об утверждении перечня  услуг (мероприятий), оказываемых (проводимых) социально ориентированными некоммерческими организациями в рамках направления «ресурсная подд</w:t>
      </w:r>
      <w:r>
        <w:rPr>
          <w:rFonts w:eastAsia="Times New Roman"/>
          <w:szCs w:val="28"/>
          <w:lang w:eastAsia="ru-RU"/>
        </w:rPr>
        <w:t xml:space="preserve">ержка - проект «Наставничество»</w:t>
      </w:r>
      <w:r>
        <w:rPr>
          <w:rFonts w:eastAsia="Times New Roman"/>
          <w:szCs w:val="28"/>
          <w:lang w:eastAsia="ru-RU"/>
        </w:rPr>
        <w:t xml:space="preserve"> в соответствии с  постановлением Правительства Ленинградской области  от 19 апреля 2021 года № 203»</w:t>
      </w:r>
      <w:r>
        <w:rPr>
          <w:rFonts w:eastAsia="Times New Roman"/>
          <w:szCs w:val="28"/>
          <w:lang w:eastAsia="ru-RU"/>
        </w:rPr>
        <w:t xml:space="preserve">, изложив</w:t>
      </w:r>
      <w:r>
        <w:rPr>
          <w:rFonts w:eastAsia="Times New Roman"/>
          <w:szCs w:val="28"/>
          <w:lang w:eastAsia="ru-RU"/>
        </w:rPr>
        <w:t xml:space="preserve"> приложение к приказу </w:t>
      </w:r>
      <w:r>
        <w:rPr>
          <w:rFonts w:eastAsia="Times New Roman"/>
          <w:szCs w:val="28"/>
          <w:lang w:eastAsia="ru-RU"/>
        </w:rPr>
        <w:t xml:space="preserve"> в редакции согласно приложению к настоящему приказу.</w:t>
      </w:r>
      <w:r>
        <w:rPr>
          <w:rFonts w:eastAsia="Times New Roman"/>
          <w:szCs w:val="28"/>
          <w:lang w:eastAsia="ru-RU"/>
        </w:rPr>
      </w:r>
    </w:p>
    <w:p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bookmarkStart w:id="0" w:name="_GoBack"/>
      <w:r/>
      <w:bookmarkEnd w:id="0"/>
      <w:r>
        <w:rPr>
          <w:rFonts w:eastAsia="Times New Roman"/>
          <w:szCs w:val="28"/>
          <w:lang w:eastAsia="ru-RU"/>
        </w:rPr>
        <w:t xml:space="preserve">Контроль за исполнением настоящего приказа оставляю за собой.</w:t>
      </w:r>
      <w:r>
        <w:rPr>
          <w:rFonts w:eastAsia="Times New Roman"/>
          <w:szCs w:val="28"/>
          <w:lang w:eastAsia="ru-RU"/>
        </w:rPr>
      </w:r>
    </w:p>
    <w:p>
      <w:pPr>
        <w:ind w:firstLine="709"/>
        <w:jc w:val="both"/>
        <w:rPr>
          <w:rFonts w:eastAsia="Times New Roman"/>
          <w:strike/>
          <w:szCs w:val="28"/>
          <w:lang w:eastAsia="ru-RU"/>
        </w:rPr>
      </w:pPr>
      <w:r>
        <w:rPr>
          <w:rFonts w:eastAsia="Times New Roman"/>
          <w:strike/>
          <w:szCs w:val="28"/>
          <w:lang w:eastAsia="ru-RU"/>
        </w:rPr>
      </w:r>
      <w:r>
        <w:rPr>
          <w:rFonts w:eastAsia="Times New Roman"/>
          <w:strike/>
          <w:szCs w:val="28"/>
          <w:lang w:eastAsia="ru-RU"/>
        </w:rPr>
      </w:r>
    </w:p>
    <w:p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</w:p>
    <w:p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Председатель Комитета                                                                               Е.Е. Путронен</w:t>
      </w:r>
      <w:r>
        <w:rPr>
          <w:rFonts w:eastAsia="Times New Roman"/>
          <w:szCs w:val="28"/>
          <w:lang w:eastAsia="ru-RU"/>
        </w:rPr>
      </w:r>
    </w:p>
    <w:p>
      <w:pPr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ind w:firstLine="709"/>
        <w:rPr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851" w:left="1134" w:header="709" w:footer="709" w:gutter="0"/>
          <w:cols w:num="1" w:sep="0" w:space="708" w:equalWidth="1"/>
          <w:docGrid w:linePitch="360"/>
          <w:titlePg/>
        </w:sectPr>
      </w:pPr>
      <w:r>
        <w:rPr>
          <w:szCs w:val="28"/>
        </w:rPr>
      </w:r>
      <w:r>
        <w:rPr>
          <w:szCs w:val="28"/>
        </w:rPr>
      </w:r>
    </w:p>
    <w:p>
      <w:pPr>
        <w:jc w:val="right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</w:rPr>
        <w:t xml:space="preserve">ПРИЛОЖЕНИЕ</w:t>
      </w:r>
      <w:r>
        <w:rPr>
          <w:rFonts w:eastAsia="Calibri"/>
          <w:sz w:val="24"/>
          <w:szCs w:val="24"/>
        </w:rPr>
      </w:r>
    </w:p>
    <w:p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 приказу Комитета общественных коммуникаций </w:t>
      </w:r>
      <w:r>
        <w:rPr>
          <w:rFonts w:eastAsia="Calibri"/>
          <w:sz w:val="24"/>
          <w:szCs w:val="24"/>
        </w:rPr>
      </w:r>
    </w:p>
    <w:p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Ленинградской области</w:t>
      </w:r>
      <w:r>
        <w:rPr>
          <w:rFonts w:eastAsia="Calibri"/>
          <w:sz w:val="24"/>
          <w:szCs w:val="24"/>
        </w:rPr>
      </w:r>
    </w:p>
    <w:p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от ________ № _______</w:t>
      </w:r>
      <w:r>
        <w:rPr>
          <w:rFonts w:eastAsia="Calibri"/>
          <w:sz w:val="24"/>
          <w:szCs w:val="24"/>
        </w:rPr>
      </w:r>
    </w:p>
    <w:p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Перечень  услуг (мероприятий), </w:t>
      </w:r>
      <w:r>
        <w:rPr>
          <w:rFonts w:eastAsia="Times New Roman"/>
          <w:szCs w:val="28"/>
          <w:lang w:eastAsia="ru-RU"/>
        </w:rPr>
      </w:r>
    </w:p>
    <w:p>
      <w:pPr>
        <w:jc w:val="center"/>
        <w:rPr>
          <w:rFonts w:eastAsia="Calibri"/>
          <w:szCs w:val="28"/>
        </w:rPr>
      </w:pPr>
      <w:r>
        <w:rPr>
          <w:rFonts w:eastAsia="Times New Roman"/>
          <w:szCs w:val="28"/>
          <w:lang w:eastAsia="ru-RU"/>
        </w:rPr>
        <w:t xml:space="preserve">оказываемых (проводимых) </w:t>
      </w:r>
      <w:r>
        <w:rPr>
          <w:rFonts w:eastAsia="Calibri"/>
          <w:szCs w:val="28"/>
        </w:rPr>
        <w:t xml:space="preserve">социально ориентированными некоммерческими организациями </w:t>
      </w:r>
      <w:r>
        <w:rPr>
          <w:rFonts w:eastAsia="Calibri"/>
          <w:szCs w:val="28"/>
        </w:rPr>
        <w:t xml:space="preserve">(далее - СО НКО) </w:t>
      </w:r>
      <w:r>
        <w:rPr>
          <w:rFonts w:eastAsia="Times New Roman"/>
          <w:szCs w:val="28"/>
          <w:lang w:eastAsia="ru-RU"/>
        </w:rPr>
        <w:t xml:space="preserve">в рамках направления </w:t>
      </w:r>
      <w:r>
        <w:rPr>
          <w:szCs w:val="28"/>
        </w:rPr>
        <w:t xml:space="preserve">«ресурсная поддержка - проект «Наставничество»» </w:t>
      </w:r>
      <w:r>
        <w:rPr>
          <w:rFonts w:eastAsia="Calibri"/>
          <w:szCs w:val="28"/>
        </w:rPr>
        <w:t xml:space="preserve">в соответствии с  постановлением Правительства Ленинградской области  от 19 апреля 2021 года № 203 (далее - Перечень)</w:t>
      </w:r>
      <w:r>
        <w:rPr>
          <w:rFonts w:eastAsia="Calibri"/>
          <w:szCs w:val="28"/>
        </w:rPr>
      </w:r>
    </w:p>
    <w:p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</w:p>
    <w:tbl>
      <w:tblPr>
        <w:tblW w:w="5103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10079"/>
        <w:gridCol w:w="4291"/>
      </w:tblGrid>
      <w:tr>
        <w:tblPrEx/>
        <w:trPr>
          <w:trHeight w:val="630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№ п/п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Наименование услуги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, мероприятие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Рекомендации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467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 xml:space="preserve">Информационн</w:t>
            </w:r>
            <w:r>
              <w:rPr>
                <w:rFonts w:eastAsia="Calibri"/>
                <w:b/>
                <w:color w:val="000000"/>
                <w:sz w:val="24"/>
                <w:szCs w:val="24"/>
              </w:rPr>
              <w:t xml:space="preserve">ые, </w:t>
            </w:r>
            <w:r>
              <w:rPr>
                <w:rFonts w:eastAsia="Calibri"/>
                <w:b/>
                <w:color w:val="000000"/>
                <w:sz w:val="24"/>
                <w:szCs w:val="24"/>
              </w:rPr>
              <w:t xml:space="preserve">консультационные услуги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</w:pPr>
            <w:r>
              <w:br w:type="page" w:clear="all"/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1.1.</w:t>
            </w:r>
            <w:r/>
          </w:p>
        </w:tc>
        <w:tc>
          <w:tcPr>
            <w:tcW w:w="3277" w:type="pct"/>
            <w:vAlign w:val="center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Консультационные услуги по вопросам налогообложения 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39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Количество консультационных услуг указывается  применительно к каждой услуги либо в общем (одним числом) с указанием перечня консультационных услуг из данного раздела 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77" w:type="pct"/>
            <w:vAlign w:val="center"/>
            <w:textDirection w:val="lrTb"/>
            <w:noWrap w:val="false"/>
          </w:tcPr>
          <w:p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Консультационные услуги по процедуре регистрации СО НКО (в том числе выбор организационно-правовой формы, выбор ОКВЭД, выбор системы налогообложения, процедура регистрации, необходимые документы, открытие расчетного счета, заполнение заявления и пр.)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9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77" w:type="pct"/>
            <w:vAlign w:val="center"/>
            <w:textDirection w:val="lrTb"/>
            <w:noWrap w:val="false"/>
          </w:tcPr>
          <w:p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Консультационные услуги по вопросам ведения социальных сетей, сайтов в сети «Интернет»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, продвижению СО НКО в сети «Интернет»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9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77" w:type="pct"/>
            <w:vAlign w:val="center"/>
            <w:textDirection w:val="lrTb"/>
            <w:noWrap w:val="false"/>
          </w:tcPr>
          <w:p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Консультационные услуги по вопросам фандрайзинга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9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3277" w:type="pct"/>
            <w:vAlign w:val="center"/>
            <w:textDirection w:val="lrTb"/>
            <w:noWrap w:val="false"/>
          </w:tcPr>
          <w:p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Консультационные услуги по вопросам подготовки заявки на получение грантовой поддержки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9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77" w:type="pct"/>
            <w:vAlign w:val="center"/>
            <w:textDirection w:val="lrTb"/>
            <w:noWrap w:val="false"/>
          </w:tcPr>
          <w:p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Консультационные услуги по вопросам заключения гражданско-правовых договоров (договоры подряда, купли-продажи, аренды, возмездного оказания услуг и т.д.)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9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8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77" w:type="pct"/>
            <w:vAlign w:val="center"/>
            <w:textDirection w:val="lrTb"/>
            <w:noWrap w:val="false"/>
          </w:tcPr>
          <w:p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Консультационные услуги по вопросу получения благотворительных пожертвований от юридических и физических лиц (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том числе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выбор формы взаимодействия, подготовка проекта договора пожертвования, консультация по налоговым льготам для благотворителей и благополучателей).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9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45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77" w:type="pct"/>
            <w:vAlign w:val="center"/>
            <w:textDirection w:val="lrTb"/>
            <w:noWrap w:val="false"/>
          </w:tcPr>
          <w:p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Консультационные услуги по вопросам информационного сопровождения деятельности СО НКО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9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77" w:type="pct"/>
            <w:vAlign w:val="center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Консультационные услуги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вопросам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применени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я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трудового законодательства Российской Федерации,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законодательства в сфере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воинского учета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  <w:p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9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45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77" w:type="pct"/>
            <w:vAlign w:val="center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Консультационные услуги по правовым вопросам для СО НКО,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в том числе в письменной форме 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39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45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1.1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77" w:type="pct"/>
            <w:vAlign w:val="center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Консультации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по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вопросам размещения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социальной реклам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ы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3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45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1.1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77" w:type="pct"/>
            <w:vAlign w:val="center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Консультации по вопросам обработки персональных данных, подачи уведомлений в Роскомнадзор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3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45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1.1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77" w:type="pct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Консультации физических лиц по процедуре создания и регистрации Территориального общественного самоуправления (далее - ТОС) в качестве юридического лица в Ленинградской области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(общая информация о регистрации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в том числе о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перечне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необходимых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докумен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тов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внесени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изменений в учредительные документы ТОС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(при необходимости)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взаимодействи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 администрацией муниципального образования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мер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ах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поддержки ТОС– юридических лиц,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об 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отчетност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ТОС – юридических лиц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о вопросах проведения собраний (конференций) жильцов для создания ТОС и т.п.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).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3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45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1.1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77" w:type="pct"/>
            <w:vAlign w:val="center"/>
            <w:textDirection w:val="lrTb"/>
            <w:noWrap w:val="false"/>
          </w:tcPr>
          <w:p>
            <w:pPr>
              <w:pStyle w:val="720"/>
              <w:spacing w:before="0" w:beforeAutospacing="0" w:after="0" w:afterAutospacing="0"/>
              <w:pBdr>
                <w:top w:val="single" w:color="E2E8F0" w:sz="2" w:space="0"/>
                <w:left w:val="single" w:color="E2E8F0" w:sz="2" w:space="0"/>
                <w:bottom w:val="single" w:color="E2E8F0" w:sz="2" w:space="0"/>
                <w:right w:val="single" w:color="E2E8F0" w:sz="2" w:space="0"/>
              </w:pBdr>
            </w:pPr>
            <w:r>
              <w:rPr>
                <w:color w:val="000000"/>
              </w:rPr>
              <w:t xml:space="preserve">Консультации по вопросам подготовки и сдачи отчетности СО НКО (</w:t>
            </w:r>
            <w:r>
              <w:t xml:space="preserve">бухгалтерская, налоговая</w:t>
            </w:r>
            <w:r>
              <w:t xml:space="preserve">,</w:t>
            </w:r>
            <w:r>
              <w:t xml:space="preserve"> статистическая отчетност</w:t>
            </w:r>
            <w:r>
              <w:t xml:space="preserve">ь, отчетность в военкоматы</w:t>
            </w:r>
            <w:r>
              <w:t xml:space="preserve">, в </w:t>
            </w:r>
            <w:r>
              <w:t xml:space="preserve">М</w:t>
            </w:r>
            <w:r>
              <w:t xml:space="preserve">инюст РФ, Социальный фонд РФ</w:t>
            </w:r>
            <w:r>
              <w:t xml:space="preserve">) .</w:t>
            </w:r>
            <w:r/>
          </w:p>
          <w:p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egoe UI" w:hAnsi="Segoe UI" w:eastAsia="Times New Roman" w:cs="Segoe UI"/>
                <w:color w:val="13151a"/>
                <w:sz w:val="24"/>
                <w:szCs w:val="24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45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467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 xml:space="preserve">Образовательные услуги </w:t>
            </w: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2.1.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77" w:type="pct"/>
            <w:vAlign w:val="center"/>
            <w:textDirection w:val="lrTb"/>
            <w:noWrap w:val="false"/>
          </w:tcPr>
          <w:p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Образовательный семинар, курс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программа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Указывается тема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и(или)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цель обучения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и(или) направление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формат (онлайн, офлайн, смешанный формат), период проведения,  количество часов (в формате «не менее»), благополучатели, их количество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(в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формате «не менее»)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документ, выдаваемый по итогам  обучения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(в случае, если планируется выдача документа об образовании)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информация об обеспечении проживания и (или) питания, и (или) проезда благополучателей.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Наличие потребности в выбранной тематике обучения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рекомендуется подтверждать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результатами онлайн опросов и(или) потребностями органов власти Ленинградской области и (или) органов местного самоуправления Ленинградской области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77" w:type="pct"/>
            <w:vAlign w:val="center"/>
            <w:textDirection w:val="lrTb"/>
            <w:noWrap w:val="false"/>
          </w:tcPr>
          <w:p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467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Сопровождение деятельности СО НКО,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проведение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мероприятий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45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3.1.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77" w:type="pct"/>
            <w:vAlign w:val="center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Сопровождение р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егистраци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 НКО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 Ленинградской области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«под ключ» (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 том числе,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выбор организационно-правовой формы, подготовка учредительных документов, подготовка пакета документов для регистрации СО НКО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eastAsia="Times New Roman" w:asciiTheme="majorHAnsi" w:hAnsiTheme="majorHAnsi" w:cstheme="majorBidi"/>
                <w:color w:val="000000"/>
                <w:sz w:val="24"/>
                <w:szCs w:val="24"/>
                <w:lang w:eastAsia="ru-RU"/>
              </w:rPr>
              <w:t xml:space="preserve">Главном управлении Министерства юстиции РФ по Санкт-Петербургу и Ленинградской области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консультация по отчетности СО НКО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3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зарегистрированных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организаций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(в формате «не менее»)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45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3.2.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77" w:type="pct"/>
            <w:vAlign w:val="center"/>
            <w:textDirection w:val="lrTb"/>
            <w:noWrap w:val="false"/>
          </w:tcPr>
          <w:p>
            <w:pPr>
              <w:pStyle w:val="702"/>
              <w:spacing w:before="0" w:line="360" w:lineRule="atLeast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Сопровождение 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егистраци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ТОС в качестве юридического лица в Ленинградской области (выбор организационно-правовой формы, подготовка учредительных документов,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писем, протоколов, выписок,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помощь в организации проведения собраний (конференций) жильцов,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взаимодействи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 администрацией муниципального образования, в том числе по вопросам согласования границ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территории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ТОС, внесения изменений в учредительные документы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(при необходимости таких изменений)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согласования учредительных документов, а также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пакета документов для регистрации ТОС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Главном управлении Министерства юстиции РФ по Санкт-Петербургу и Ленинградской области, консультация по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оформлени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электронно-цифровой подписи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Количество зарегистрированных организаций (в формате «не менее»)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77" w:type="pct"/>
            <w:vAlign w:val="center"/>
            <w:textDirection w:val="lrTb"/>
            <w:noWrap w:val="false"/>
          </w:tcPr>
          <w:p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Организация выездов СО НКО (их представителей, волонтеров)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 (или) представителей бизнеса, осуществляющих благотворительную деятельность на территории Ленинградской области,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на форумы, семинары, конкурсы, иные мероприятия в другие субъекты Российской Федерации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Указываются конкретное мероприятие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(при наличии)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информация о нем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 учетом доступной информации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либо направление (тематика) планируемого выезда, период,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субъект Российской Федерации, в который запланирован выезд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(если известен), количество выездов, количество благополучателей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(в формате «не менее»)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информация об обеспечении проживания и (или) питания, 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(или) проезда благополучателей (при наличии данной информации)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77" w:type="pct"/>
            <w:vAlign w:val="center"/>
            <w:textDirection w:val="lrTb"/>
            <w:noWrap w:val="false"/>
          </w:tcPr>
          <w:p>
            <w:pPr>
              <w:ind w:hanging="5"/>
              <w:jc w:val="both"/>
              <w:spacing w:line="288" w:lineRule="atLeast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Выездные семинары в муниципальные районы (городской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муниципальный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 Ленинградской области </w:t>
            </w:r>
            <w:r>
              <w:rPr>
                <w:rFonts w:eastAsia="Times New Roman"/>
                <w:strike/>
                <w:sz w:val="24"/>
                <w:szCs w:val="24"/>
                <w:lang w:eastAsia="ru-RU"/>
              </w:rPr>
            </w:r>
          </w:p>
          <w:p>
            <w:pPr>
              <w:ind w:firstLine="567"/>
              <w:spacing w:after="200" w:line="276" w:lineRule="auto"/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</w:r>
            <w:r>
              <w:rPr>
                <w:strike/>
                <w:sz w:val="24"/>
                <w:szCs w:val="24"/>
              </w:rPr>
            </w:r>
          </w:p>
          <w:p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3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Указывается количество выездов, 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информация об обеспечении питания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(при наличии)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количестве  благополучателей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(в формате «не менее»)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наименование муниципальных районов (городского округа, муниципального округа) Ленинградской области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или количество районов, округов в формате «не менее»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примерная тематика выездов и (или)  их цель.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77" w:type="pct"/>
            <w:vAlign w:val="center"/>
            <w:textDirection w:val="lrTb"/>
            <w:noWrap w:val="false"/>
          </w:tcPr>
          <w:p>
            <w:pPr>
              <w:tabs>
                <w:tab w:val="left" w:pos="930" w:leader="none"/>
              </w:tabs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Методическое сопровождение проектов получателей гранта Губернатора Ленинградской области (включает оказание консультационных услуг по: подготовке и сдаче отчетности,  </w:t>
            </w:r>
            <w:r>
              <w:rPr>
                <w:sz w:val="24"/>
                <w:szCs w:val="24"/>
              </w:rPr>
              <w:t xml:space="preserve">в том числе в государственной интегрированной информационной системе управления общественными финансами «Электронный бюджет», </w:t>
            </w:r>
            <w:r>
              <w:rPr>
                <w:sz w:val="24"/>
                <w:szCs w:val="24"/>
              </w:rPr>
              <w:t xml:space="preserve">планирова</w:t>
            </w:r>
            <w:r>
              <w:rPr>
                <w:sz w:val="24"/>
                <w:szCs w:val="24"/>
              </w:rPr>
              <w:t xml:space="preserve">нию при реализации проекта с целью своевременной сдачи отчетности, подготовке документов, подтверждающих реализацию мероприятий проекта и расходы на реализацию проекта, юридических и бухгалтерских консультаций по вопросам, связанным с реализацией проекта).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3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Указывается количество благополучателей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– СО НКО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, которым будет оказана услуга (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рекомендуется указывать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не менее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10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0 организаций)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77" w:type="pct"/>
            <w:vAlign w:val="center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Организация и проведение консультативных советов, стратегических сессий, круглых столов 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3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Указывается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тема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и (или) общее направление мероприятия, и (или)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, цель мероприятий,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благополучатели,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их количество, информация о наличии/отсутствии раздаточного материала, питания, проживания, проезда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(при наличии данной информации)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77" w:type="pct"/>
            <w:vAlign w:val="center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Разработка методических рекомендаций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3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Указывается к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оличество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методических материалов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(шт.),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цель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разработки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, формат представления (электронный, на бумажном носителе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, иной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). Информация о распространении (место размещения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,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распространения). 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Наличие потребности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в методических рекомендациях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рекомендуется подтверждать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результат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ами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онлайн опросов и(или) потребност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ями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органов власти Ленинградской области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 (или) органов местного самоуправления Ленинградской области   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77" w:type="pct"/>
            <w:vAlign w:val="center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Техническое обеспечение работы сайтов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СО НКО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3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Указывается сайт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(при наличии действующего сайта)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, цель,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планируемые работы,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срок оказания услуги.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7" w:type="pct"/>
            <w:vAlign w:val="center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Информационное сопровождение деятельности СО НКО (продвижение в средствах массовой информации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,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социальных сетях и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и(или)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информационно-телекоммуникационной сети «Интернет»; подготовка и распространение фото- и видеоматериалов, а также информационных статей)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Указывается количество организаций (шт.),  конкретный перечень мероприятий, входящий в услугу, цель, срок оказания услуги. 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77" w:type="pct"/>
            <w:vAlign w:val="center"/>
            <w:textDirection w:val="lrTb"/>
            <w:noWrap w:val="false"/>
          </w:tcPr>
          <w:p>
            <w:pPr>
              <w:rPr>
                <w:rFonts w:eastAsia="Calibri"/>
                <w:strike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Разработка программного обеспечения, чат-ботов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, интеграция применения искусственного интеллекта в работе СО НКО</w:t>
            </w:r>
            <w:r>
              <w:rPr>
                <w:rFonts w:eastAsia="Calibri"/>
                <w:strike/>
                <w:color w:val="000000"/>
                <w:sz w:val="24"/>
                <w:szCs w:val="24"/>
              </w:rPr>
            </w:r>
          </w:p>
        </w:tc>
        <w:tc>
          <w:tcPr>
            <w:tcW w:w="13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Указывается цель, проводится описа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ние (что создается и для кого).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3.1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77" w:type="pct"/>
            <w:vAlign w:val="center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 Проведение форумов, выставок 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3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Указывается цель,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благополучател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ей (в формате «не менее»)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, проводится описание (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формат, количество дней, место) (при наличии информации).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3.1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77" w:type="pct"/>
            <w:vAlign w:val="center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Внесение изменений в учредительные документы СО НКО  (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подготовка пакета документов для регистрации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изменений) 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3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Количество организаций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3.1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77" w:type="pct"/>
            <w:vAlign w:val="center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Организация работы с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некоммерческими организациями Ленинградской области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, сдавши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ми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по итогам 202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4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-202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5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годов, нулевую налоговую отчетность в ФНС РФ (анализ ситуации относительно каждого СО НКО, подбор вариантов /программ решения проблемы, оказание индивидуальных информационно-консультационных услуг, проведение семинаров для групп СО НКО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(при необходимости)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3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Указывается количество орган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изаций (рекомендуется указывать не менее 5 организаций)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3.1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77" w:type="pct"/>
            <w:vAlign w:val="center"/>
            <w:textDirection w:val="lrTb"/>
            <w:noWrap w:val="false"/>
          </w:tcPr>
          <w:p>
            <w:pPr>
              <w:pStyle w:val="706"/>
              <w:ind w:left="2"/>
              <w:spacing w:after="160" w:line="259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Проверка на возможность применения пониженного тарифа страховых взносов (работа с учредительными документами, поступлениями на расчетный счет)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3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Количество организаций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3.1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77" w:type="pct"/>
            <w:vAlign w:val="center"/>
            <w:textDirection w:val="lrTb"/>
            <w:noWrap w:val="false"/>
          </w:tcPr>
          <w:p>
            <w:pPr>
              <w:pStyle w:val="706"/>
              <w:ind w:left="2"/>
              <w:spacing w:after="160" w:line="259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Оказание услуги по бухгалтерскому сопровождению некоммерческих организаций Ленинградской области, срок осуществления деятельности которых с момента государственной регистрации составляет не более одного года 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3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Количество организаций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В данном пункте под сопровожд</w:t>
            </w:r>
            <w:r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ение не подпадают СО НКО, </w:t>
            </w:r>
            <w:r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имеющие</w:t>
            </w:r>
            <w:r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 действующий проект, реализуемый за счет </w:t>
            </w:r>
            <w:r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средств </w:t>
            </w:r>
            <w:r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грантовой поддержки (субсидии), </w:t>
            </w:r>
            <w:r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и (или) пожертвований</w:t>
            </w:r>
            <w:r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.</w:t>
            </w:r>
            <w:r>
              <w:rPr>
                <w:rFonts w:eastAsia="Calibri"/>
                <w:i/>
                <w:iCs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3.1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77" w:type="pct"/>
            <w:vAlign w:val="center"/>
            <w:textDirection w:val="lrTb"/>
            <w:noWrap w:val="false"/>
          </w:tcPr>
          <w:p>
            <w:pPr>
              <w:pStyle w:val="706"/>
              <w:ind w:left="2"/>
              <w:spacing w:after="160" w:line="259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Распространение социально значимой информации (в том  числе может включать: создание передач, тематических выпусков, сюжетов, их трансляция на различных ресурсах, создание и размещение публикаций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(статей, новостей)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, продвижение публикаций, сюжетов, информационных выпусков, в том числе посредством таргетированной рекламы</w:t>
            </w:r>
            <w:r>
              <w:rPr>
                <w:rFonts w:ascii="PT Sans" w:hAnsi="PT Sans"/>
                <w:color w:val="3f2512"/>
                <w:sz w:val="20"/>
                <w:szCs w:val="20"/>
                <w:shd w:val="clear" w:color="auto" w:fill="ffffff"/>
              </w:rPr>
              <w:t xml:space="preserve">)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3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Описание услуги, срок, количество благополучателей (в формате «не менее»). 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3.1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77" w:type="pct"/>
            <w:vAlign w:val="center"/>
            <w:textDirection w:val="lrTb"/>
            <w:noWrap w:val="false"/>
          </w:tcPr>
          <w:p>
            <w:pPr>
              <w:pStyle w:val="706"/>
              <w:ind w:left="2"/>
              <w:spacing w:after="160" w:line="259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Привлечение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сторонних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экспертов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, спикеров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для участия в мероприятиях, проводимых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органами  власти и (или) некоммерческими организациями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для СО НКО и (или) для граждан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по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развитию некоммерческого сектора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3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Указывается количество экспертов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, спикеров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(в формате «не менее»)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3.1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77" w:type="pct"/>
            <w:vAlign w:val="center"/>
            <w:textDirection w:val="lrTb"/>
            <w:noWrap w:val="false"/>
          </w:tcPr>
          <w:p>
            <w:pPr>
              <w:pStyle w:val="706"/>
              <w:ind w:left="2"/>
              <w:spacing w:after="160" w:line="259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Участие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сотрудников и (или) представителей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команды проекта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в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мероприятиях, направленных на развитие некоммерческого сектора Ленинградской области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, в качестве экспертов и(или) модераторов,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и (или) спикеров.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3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Указывается количество мероприятий, в которых планируется участие в формате «не менее»), форматы участия (очно, онлайн, смешанный)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. Количество участвующих лиц от команды проекта (в формате «не менее»).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Данный пункт предполагает участие сотрудников </w:t>
            </w:r>
            <w:r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и (или) представителей команды проекта (организации - </w:t>
            </w:r>
            <w:r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участника отбора</w:t>
            </w:r>
            <w:r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)</w:t>
            </w:r>
            <w:r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 в мероприятиях, </w:t>
            </w:r>
            <w:r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проводимых сторонними лицами.</w:t>
            </w:r>
            <w:r>
              <w:rPr>
                <w:rFonts w:eastAsia="Calibri"/>
                <w:i/>
                <w:iCs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3.19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77" w:type="pct"/>
            <w:vAlign w:val="center"/>
            <w:textDirection w:val="lrTb"/>
            <w:noWrap w:val="false"/>
          </w:tcPr>
          <w:p>
            <w:pPr>
              <w:pStyle w:val="706"/>
              <w:ind w:left="2"/>
              <w:spacing w:after="160" w:line="259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Оказание услуги по подготовке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эскизных проектов благоустройства территории для ТОС 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3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Указывается количество эскизных проектов (в формате «не менее») 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467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 xml:space="preserve">Услуги, мероприятия, направленные на продвижение проектов и инициатив Ленинградской области в сфере культуры, искусства и креативных (творческих) индустрий</w:t>
            </w: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77" w:type="pct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- консультации по социокультурному проектированию,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в том числе в части подготовки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конкурсных заявок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на получение грантовой поддержки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;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  <w:p>
            <w:pPr>
              <w:spacing w:after="200" w:line="276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- информационное сопровождение проектов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и (или) инициатив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в сфере культуры, искусства и кр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еативных (творческих) индустрий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;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  <w:p>
            <w:pPr>
              <w:spacing w:after="200" w:line="276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- проведение семинаров и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(или)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конференций,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и (или) круглых столов,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и(или) экскурсии, и(или) форумов, и (или) выставок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(самостоятельно или в партнерстве с органами власти и (или) физическими и (или) юридическими лицами)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направленных  на продвижение проектов и инициатив Ленинградской области в сфере культуры, искусства и креативных (творческих) индустрий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и (или) на  вовлечение потенциальных участников  в реализацию проектов в сфере культуры, искусства и кр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еативных (творческих) индустрий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,  повышения качества проектов в данной сфере;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  <w:p>
            <w:pPr>
              <w:spacing w:after="200" w:line="276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рганизация выездов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организаций, осуществляющих деятельность 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в сфере культуры, искусства и креативных (творческих) индустрий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(их представителей, волонтеров), на форумы, семинары, конкурсы, иные мероприятия в другие субъекты Российской Федерации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с целью продвижение проектов и инициатив Ленинградской области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;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200" w:line="276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- привлечение экспертов, спикеров для участия в мероприятиях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;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  <w:p>
            <w:pPr>
              <w:spacing w:after="200" w:line="276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разработка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и подготовка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методических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и (или) раздаточных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материалов;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  <w:p>
            <w:pPr>
              <w:spacing w:after="200" w:line="276" w:lineRule="auto"/>
              <w:rPr>
                <w:rFonts w:ascii="PT Sans" w:hAnsi="PT Sans"/>
                <w:color w:val="3f2512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- распространение социально значимой информации (в том  числе может включать: создание передач,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фильмов,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тематических выпусков, сюжетов, их трансляция на различных ресурсах, создание и размещение публикаций (статей, новостей), продвижение публикаций, сюжетов,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информационных выпусков, в том числе посредством таргетированной рекламы</w:t>
            </w:r>
            <w:r>
              <w:rPr>
                <w:rFonts w:ascii="PT Sans" w:hAnsi="PT Sans"/>
                <w:color w:val="3f2512"/>
                <w:sz w:val="20"/>
                <w:szCs w:val="20"/>
                <w:shd w:val="clear" w:color="auto" w:fill="ffffff"/>
              </w:rPr>
              <w:t xml:space="preserve">)</w:t>
            </w:r>
            <w:r>
              <w:rPr>
                <w:rFonts w:ascii="PT Sans" w:hAnsi="PT Sans"/>
                <w:color w:val="3f2512"/>
                <w:sz w:val="20"/>
                <w:szCs w:val="20"/>
                <w:shd w:val="clear" w:color="auto" w:fill="ffffff"/>
              </w:rPr>
              <w:t xml:space="preserve">;</w:t>
            </w:r>
            <w:r>
              <w:rPr>
                <w:rFonts w:ascii="PT Sans" w:hAnsi="PT Sans"/>
                <w:color w:val="3f2512"/>
                <w:sz w:val="20"/>
                <w:szCs w:val="20"/>
                <w:shd w:val="clear" w:color="auto" w:fill="ffffff"/>
              </w:rPr>
            </w:r>
          </w:p>
          <w:p>
            <w:pPr>
              <w:spacing w:after="200" w:line="276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- проведение</w:t>
            </w:r>
            <w:r>
              <w:rPr>
                <w:rFonts w:ascii="Times Roman" w:hAnsi="Times Roman"/>
                <w:color w:val="3f2512"/>
                <w:szCs w:val="28"/>
                <w:shd w:val="clear" w:color="auto" w:fill="ffffff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конкурсов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, марафонов, акций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(самостоятельно или в партнерстве с органами власти и (или) физическими и (или) юридическими лицами), направленных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продвижение проектов и (или) инициатив Ленинградской области в сфере культуры, искусства и креативных (творческих) индустрий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, и (или) приуроченных к тематическим (праздничным) датам Ленинградской области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.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3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В проект включается весь комплекс услуг, мероприятий, определенных в разделе 4 настоящего Перечня.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sectPr>
      <w:footnotePr/>
      <w:endnotePr/>
      <w:type w:val="nextPage"/>
      <w:pgSz w:w="16838" w:h="11906" w:orient="landscape"/>
      <w:pgMar w:top="1134" w:right="1134" w:bottom="567" w:left="85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egoe UI">
    <w:panose1 w:val="020B0503020204020204"/>
  </w:font>
  <w:font w:name="Calibri">
    <w:panose1 w:val="020F0502020204030204"/>
  </w:font>
  <w:font w:name="PT Sans">
    <w:panose1 w:val="020B0503020203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Georgia">
    <w:panose1 w:val="02040502050405020303"/>
  </w:font>
  <w:font w:name="Times Roman">
    <w:panose1 w:val="02000603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27596202"/>
      <w:docPartObj>
        <w:docPartGallery w:val="Page Numbers (Top of Page)"/>
        <w:docPartUnique w:val="true"/>
      </w:docPartObj>
      <w:rPr/>
    </w:sdtPr>
    <w:sdtContent>
      <w:p>
        <w:pPr>
          <w:pStyle w:val="714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7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</w:p>
    </w:sdtContent>
  </w:sdt>
  <w:p>
    <w:pPr>
      <w:pStyle w:val="71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2" w:hanging="1032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0"/>
  </w:num>
  <w:num w:numId="5">
    <w:abstractNumId w:val="11"/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8"/>
        <w:szCs w:val="28"/>
        <w:lang w:val="ru-RU" w:eastAsia="en-US" w:bidi="ar-SA"/>
      </w:rPr>
    </w:rPrDefault>
    <w:pPrDefault>
      <w:pPr>
        <w:ind w:left="0" w:right="0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1"/>
    <w:next w:val="70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03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3"/>
    <w:link w:val="702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1"/>
    <w:next w:val="70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1"/>
    <w:next w:val="70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1"/>
    <w:next w:val="70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1"/>
    <w:next w:val="70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1"/>
    <w:next w:val="70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1"/>
    <w:next w:val="70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1"/>
    <w:next w:val="70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1"/>
    <w:next w:val="70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3"/>
    <w:link w:val="34"/>
    <w:uiPriority w:val="10"/>
    <w:rPr>
      <w:sz w:val="48"/>
      <w:szCs w:val="48"/>
    </w:rPr>
  </w:style>
  <w:style w:type="paragraph" w:styleId="36">
    <w:name w:val="Subtitle"/>
    <w:basedOn w:val="701"/>
    <w:next w:val="70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3"/>
    <w:link w:val="36"/>
    <w:uiPriority w:val="11"/>
    <w:rPr>
      <w:sz w:val="24"/>
      <w:szCs w:val="24"/>
    </w:rPr>
  </w:style>
  <w:style w:type="paragraph" w:styleId="38">
    <w:name w:val="Quote"/>
    <w:basedOn w:val="701"/>
    <w:next w:val="70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1"/>
    <w:next w:val="70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3"/>
    <w:link w:val="714"/>
    <w:uiPriority w:val="99"/>
  </w:style>
  <w:style w:type="character" w:styleId="45">
    <w:name w:val="Footer Char"/>
    <w:basedOn w:val="703"/>
    <w:link w:val="716"/>
    <w:uiPriority w:val="99"/>
  </w:style>
  <w:style w:type="paragraph" w:styleId="46">
    <w:name w:val="Caption"/>
    <w:basedOn w:val="701"/>
    <w:next w:val="70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03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0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3"/>
    <w:uiPriority w:val="99"/>
    <w:unhideWhenUsed/>
    <w:rPr>
      <w:vertAlign w:val="superscript"/>
    </w:rPr>
  </w:style>
  <w:style w:type="paragraph" w:styleId="178">
    <w:name w:val="endnote text"/>
    <w:basedOn w:val="70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3"/>
    <w:uiPriority w:val="99"/>
    <w:semiHidden/>
    <w:unhideWhenUsed/>
    <w:rPr>
      <w:vertAlign w:val="superscript"/>
    </w:rPr>
  </w:style>
  <w:style w:type="paragraph" w:styleId="181">
    <w:name w:val="toc 1"/>
    <w:basedOn w:val="701"/>
    <w:next w:val="70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1"/>
    <w:next w:val="70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1"/>
    <w:next w:val="70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1"/>
    <w:next w:val="70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1"/>
    <w:next w:val="70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1"/>
    <w:next w:val="70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1"/>
    <w:next w:val="70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1"/>
    <w:next w:val="70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1"/>
    <w:next w:val="70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1"/>
    <w:next w:val="701"/>
    <w:uiPriority w:val="99"/>
    <w:unhideWhenUsed/>
    <w:pPr>
      <w:spacing w:after="0" w:afterAutospacing="0"/>
    </w:pPr>
  </w:style>
  <w:style w:type="paragraph" w:styleId="701" w:default="1">
    <w:name w:val="Normal"/>
    <w:qFormat/>
    <w:pPr>
      <w:ind w:firstLine="0"/>
    </w:pPr>
    <w:rPr>
      <w:rFonts w:cs="Times New Roman"/>
      <w:szCs w:val="22"/>
    </w:rPr>
  </w:style>
  <w:style w:type="paragraph" w:styleId="702">
    <w:name w:val="Heading 2"/>
    <w:basedOn w:val="701"/>
    <w:next w:val="701"/>
    <w:link w:val="722"/>
    <w:uiPriority w:val="9"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paragraph" w:styleId="706">
    <w:name w:val="List Paragraph"/>
    <w:basedOn w:val="701"/>
    <w:uiPriority w:val="34"/>
    <w:qFormat/>
    <w:pPr>
      <w:contextualSpacing/>
      <w:ind w:left="720"/>
    </w:pPr>
  </w:style>
  <w:style w:type="character" w:styleId="707">
    <w:name w:val="Hyperlink"/>
    <w:basedOn w:val="703"/>
    <w:uiPriority w:val="99"/>
    <w:unhideWhenUsed/>
    <w:rPr>
      <w:color w:val="0000ff" w:themeColor="hyperlink"/>
      <w:u w:val="single"/>
    </w:rPr>
  </w:style>
  <w:style w:type="table" w:styleId="708">
    <w:name w:val="Table Grid"/>
    <w:basedOn w:val="704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09">
    <w:name w:val="Balloon Text"/>
    <w:basedOn w:val="701"/>
    <w:link w:val="710"/>
    <w:uiPriority w:val="99"/>
    <w:semiHidden/>
    <w:unhideWhenUsed/>
    <w:rPr>
      <w:rFonts w:ascii="Tahoma" w:hAnsi="Tahoma" w:cs="Tahoma"/>
      <w:sz w:val="16"/>
      <w:szCs w:val="16"/>
    </w:rPr>
  </w:style>
  <w:style w:type="character" w:styleId="710" w:customStyle="1">
    <w:name w:val="Текст выноски Знак"/>
    <w:basedOn w:val="703"/>
    <w:link w:val="709"/>
    <w:uiPriority w:val="99"/>
    <w:semiHidden/>
    <w:rPr>
      <w:rFonts w:ascii="Tahoma" w:hAnsi="Tahoma" w:cs="Tahoma"/>
      <w:sz w:val="16"/>
      <w:szCs w:val="16"/>
    </w:rPr>
  </w:style>
  <w:style w:type="paragraph" w:styleId="711" w:customStyle="1">
    <w:name w:val="ConsPlusNormal"/>
    <w:pPr>
      <w:ind w:firstLine="0"/>
      <w:widowControl w:val="off"/>
    </w:pPr>
    <w:rPr>
      <w:rFonts w:eastAsia="Times New Roman" w:cs="Times New Roman"/>
      <w:sz w:val="24"/>
      <w:szCs w:val="20"/>
      <w:lang w:eastAsia="ru-RU"/>
    </w:rPr>
  </w:style>
  <w:style w:type="paragraph" w:styleId="712" w:customStyle="1">
    <w:name w:val="s_1"/>
    <w:basedOn w:val="7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713" w:customStyle="1">
    <w:name w:val="s_10"/>
    <w:basedOn w:val="703"/>
  </w:style>
  <w:style w:type="paragraph" w:styleId="714">
    <w:name w:val="Header"/>
    <w:basedOn w:val="701"/>
    <w:link w:val="71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5" w:customStyle="1">
    <w:name w:val="Верхний колонтитул Знак"/>
    <w:basedOn w:val="703"/>
    <w:link w:val="714"/>
    <w:uiPriority w:val="99"/>
    <w:rPr>
      <w:rFonts w:cs="Times New Roman"/>
      <w:szCs w:val="22"/>
    </w:rPr>
  </w:style>
  <w:style w:type="paragraph" w:styleId="716">
    <w:name w:val="Footer"/>
    <w:basedOn w:val="701"/>
    <w:link w:val="71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7" w:customStyle="1">
    <w:name w:val="Нижний колонтитул Знак"/>
    <w:basedOn w:val="703"/>
    <w:link w:val="716"/>
    <w:uiPriority w:val="99"/>
    <w:rPr>
      <w:rFonts w:cs="Times New Roman"/>
      <w:szCs w:val="22"/>
    </w:rPr>
  </w:style>
  <w:style w:type="paragraph" w:styleId="718" w:customStyle="1">
    <w:name w:val="Default"/>
    <w:pPr>
      <w:ind w:firstLine="0"/>
    </w:pPr>
    <w:rPr>
      <w:rFonts w:cs="Times New Roman"/>
      <w:color w:val="000000"/>
      <w:sz w:val="24"/>
      <w:szCs w:val="24"/>
    </w:rPr>
  </w:style>
  <w:style w:type="paragraph" w:styleId="719" w:customStyle="1">
    <w:name w:val="Pro-Gramma"/>
    <w:basedOn w:val="701"/>
    <w:pPr>
      <w:ind w:left="1134"/>
      <w:jc w:val="both"/>
      <w:spacing w:before="120" w:line="288" w:lineRule="auto"/>
    </w:pPr>
    <w:rPr>
      <w:rFonts w:ascii="Georgia" w:hAnsi="Georgia" w:eastAsia="Times New Roman"/>
      <w:sz w:val="20"/>
      <w:szCs w:val="24"/>
      <w:lang w:eastAsia="ru-RU"/>
    </w:rPr>
  </w:style>
  <w:style w:type="paragraph" w:styleId="720">
    <w:name w:val="Normal (Web)"/>
    <w:basedOn w:val="701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721">
    <w:name w:val="Strong"/>
    <w:basedOn w:val="703"/>
    <w:uiPriority w:val="22"/>
    <w:qFormat/>
    <w:rPr>
      <w:b/>
      <w:bCs/>
    </w:rPr>
  </w:style>
  <w:style w:type="character" w:styleId="722" w:customStyle="1">
    <w:name w:val="Заголовок 2 Знак"/>
    <w:basedOn w:val="703"/>
    <w:link w:val="702"/>
    <w:uiPriority w:val="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723">
    <w:name w:val="Emphasis"/>
    <w:basedOn w:val="70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7F4E4-3131-49EF-9790-BBB5D2259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Артемовна ТЕМРАЗЯН</dc:creator>
  <cp:lastModifiedBy>os_boyarkina</cp:lastModifiedBy>
  <cp:revision>3</cp:revision>
  <dcterms:created xsi:type="dcterms:W3CDTF">2026-01-21T14:05:00Z</dcterms:created>
  <dcterms:modified xsi:type="dcterms:W3CDTF">2026-01-21T14:39:21Z</dcterms:modified>
</cp:coreProperties>
</file>