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right="-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38"/>
        <w:ind w:right="-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38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left="7090" w:right="-1" w:hanging="99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right="-1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обнаруженн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Всеволожском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муниципальном районе </w:t>
        <w:br/>
        <w:t xml:space="preserve">Ленинградской области, </w:t>
      </w:r>
      <w:r>
        <w:rPr>
          <w:rFonts w:ascii="Times New Roman" w:hAnsi="Times New Roman"/>
          <w:b/>
          <w:sz w:val="28"/>
          <w:szCs w:val="28"/>
        </w:rPr>
        <w:t xml:space="preserve">в Перечень выявленных объектов культурного наследия, расположенных </w:t>
      </w:r>
      <w:r>
        <w:rPr>
          <w:rFonts w:ascii="Times New Roman" w:hAnsi="Times New Roman"/>
          <w:b/>
          <w:sz w:val="28"/>
          <w:szCs w:val="28"/>
        </w:rPr>
        <w:t xml:space="preserve">на территории Ленинградской области,</w:t>
      </w:r>
      <w:r>
        <w:rPr>
          <w:rFonts w:ascii="Times New Roman" w:hAnsi="Times New Roman"/>
          <w:b/>
          <w:sz w:val="28"/>
          <w:szCs w:val="28"/>
        </w:rPr>
        <w:t xml:space="preserve"> </w:t>
        <w:br/>
      </w:r>
      <w:r>
        <w:rPr>
          <w:rFonts w:ascii="Times New Roman" w:hAnsi="Times New Roman"/>
          <w:b/>
          <w:sz w:val="28"/>
          <w:szCs w:val="28"/>
        </w:rPr>
        <w:t xml:space="preserve">и утверждении границ </w:t>
      </w:r>
      <w:r>
        <w:rPr>
          <w:rFonts w:ascii="Times New Roman" w:hAnsi="Times New Roman"/>
          <w:b/>
          <w:sz w:val="28"/>
          <w:szCs w:val="28"/>
        </w:rPr>
        <w:t xml:space="preserve">его</w:t>
      </w:r>
      <w:r>
        <w:rPr>
          <w:rFonts w:ascii="Times New Roman" w:hAnsi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38"/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от </w:t>
        <w:br/>
        <w:t xml:space="preserve">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сфере культуры и туризма», 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поступивших от Открытого акционерного общества «Проектно-изыскательские решения в строительстве» (ООО «ПИРС») </w:t>
        <w:br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(открытый лист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Р018-00103-00/03660279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06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ноября 2025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года, выданный </w:t>
        <w:br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Бельскому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С.В.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Селище Березовка-1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Всеволожский район, Колтушское городское поселение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Всеволожский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left="283"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left="1260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0"/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0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Вице-губернатор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Ленинградской области по вопросам развития и сохранения культурного наследия – председатель комитета по сохранению культурного наследия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8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8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38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38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«Селище Березовка-1»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38"/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Всеволожский район, Колтушское городское поселение.</w:t>
      </w:r>
      <w:r/>
      <w:r/>
    </w:p>
    <w:p>
      <w:pPr>
        <w:pStyle w:val="838"/>
        <w:contextualSpacing/>
        <w:ind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38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«Селище Березовка-1»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76680" cy="4464213"/>
                <wp:effectExtent l="6350" t="6350" r="6350" b="6350"/>
                <wp:docPr id="2" name="Рисунок 7" descr="Селище_окн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693169" name="Picture 7" descr="Селище_окн_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276679" cy="4464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4.23pt;height:351.51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Таблица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«Селище Березовка-1»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2)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W w:w="0" w:type="auto"/>
        <w:jc w:val="center"/>
        <w:tblInd w:w="-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424"/>
        <w:gridCol w:w="2281"/>
        <w:gridCol w:w="2421"/>
        <w:gridCol w:w="1996"/>
        <w:gridCol w:w="1843"/>
        <w:gridCol w:w="317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поворотной точки границы ОАН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Географические координаты WGS-84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Координаты в местной системе координат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(МСК-47, зона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Описание участков прохождения границы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Северной широты (N)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Восточной долготы (Е)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ind w:left="120" w:right="120"/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1555" w:right="0" w:hanging="1555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438290.9574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2244689.9683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59.95650333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30.852716206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 до точки 2 56.45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438338.4029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2244720.5574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59.95692959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30.853262433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2 до точки 3 58.92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438366.4043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2244772.4087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59.957181601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30.85418973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3 до точки 4 15.04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438366.1574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2244787.4493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59.95717958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30.854458933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4 до точки 5 14.37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438354.6153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2244796.0252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59.957076093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30.854612722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5 до точки 618.37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438336.5925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2244799.6166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59.956914372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30.854677467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6 до точки 7 8.31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438328.6747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2244797.0898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59.956843272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30.854632447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7 до точки 8 9.00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438323.7994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2244789.5241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59.956799415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30.854497164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8 до точки 9 18.16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438323.3824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2244771.3652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59.956795435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30.854172172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9 до точки 10 15.51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438315.7628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2244757.8469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59.956726868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30.853930423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10 до точки 11 19.52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438298.0684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2244750.0668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59.956567947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30.853791639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11 до точки 12 29.66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438269.0435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2244747.2523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59.956307391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30.853742023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12 до точки 13 19.10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438251.2979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2244740.8612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59.956148028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30.853628102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13 до точки 14 10.41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438244.6949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2244733.1739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59.956088661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30.853490692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14 до точки 15 16.54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438238.5948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2244717.7999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59.956033706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30.853215698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15 до точки 16 13.33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438236.128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2244704.6913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59.956011392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30.852981154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16 до точки 17 12.59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438241.6456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2244693.3697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59.956060767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30.852778382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17 до точки 18 20.99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4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438261.0028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2244685.2386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59.956234404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30.852632346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точки 18 до точки 7 30.32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3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7210.00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периметр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385.45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417" w:right="1134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8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38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38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«Селище Березовка-1»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38"/>
        <w:ind w:right="-1"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8"/>
        <w:ind w:right="-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9">
    <w:name w:val="Основной шрифт абзаца"/>
    <w:next w:val="839"/>
    <w:link w:val="838"/>
    <w:uiPriority w:val="1"/>
    <w:unhideWhenUsed/>
  </w:style>
  <w:style w:type="table" w:styleId="840">
    <w:name w:val="Обычная таблица"/>
    <w:next w:val="840"/>
    <w:link w:val="838"/>
    <w:uiPriority w:val="99"/>
    <w:semiHidden/>
    <w:unhideWhenUsed/>
    <w:tblPr/>
  </w:style>
  <w:style w:type="numbering" w:styleId="841">
    <w:name w:val="Нет списка"/>
    <w:next w:val="841"/>
    <w:link w:val="838"/>
    <w:uiPriority w:val="99"/>
    <w:semiHidden/>
    <w:unhideWhenUsed/>
  </w:style>
  <w:style w:type="character" w:styleId="842">
    <w:name w:val="apple-converted-space"/>
    <w:basedOn w:val="839"/>
    <w:next w:val="842"/>
    <w:link w:val="838"/>
  </w:style>
  <w:style w:type="paragraph" w:styleId="843">
    <w:name w:val="Абзац списка"/>
    <w:basedOn w:val="838"/>
    <w:next w:val="843"/>
    <w:link w:val="838"/>
    <w:uiPriority w:val="34"/>
    <w:qFormat/>
    <w:pPr>
      <w:contextualSpacing/>
      <w:ind w:left="720"/>
    </w:pPr>
  </w:style>
  <w:style w:type="paragraph" w:styleId="844">
    <w:name w:val="Текст выноски"/>
    <w:basedOn w:val="838"/>
    <w:next w:val="844"/>
    <w:link w:val="84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character" w:styleId="846">
    <w:name w:val="Выделение"/>
    <w:next w:val="846"/>
    <w:link w:val="838"/>
    <w:uiPriority w:val="20"/>
    <w:qFormat/>
    <w:rPr>
      <w:i/>
      <w:iCs/>
    </w:rPr>
  </w:style>
  <w:style w:type="table" w:styleId="847">
    <w:name w:val="Сетка таблицы"/>
    <w:basedOn w:val="840"/>
    <w:next w:val="847"/>
    <w:link w:val="838"/>
    <w:uiPriority w:val="59"/>
    <w:pPr>
      <w:spacing w:after="0" w:line="240" w:lineRule="auto"/>
    </w:pPr>
    <w:tblPr/>
  </w:style>
  <w:style w:type="character" w:styleId="848">
    <w:name w:val="Другое_"/>
    <w:next w:val="848"/>
    <w:link w:val="849"/>
    <w:uiPriority w:val="99"/>
    <w:rPr>
      <w:rFonts w:ascii="Times New Roman" w:hAnsi="Times New Roman"/>
      <w:color w:val="242424"/>
    </w:rPr>
  </w:style>
  <w:style w:type="paragraph" w:styleId="849">
    <w:name w:val="Другое"/>
    <w:basedOn w:val="838"/>
    <w:next w:val="849"/>
    <w:link w:val="848"/>
    <w:uiPriority w:val="99"/>
    <w:pPr>
      <w:ind w:firstLine="70"/>
      <w:spacing w:after="0" w:line="240" w:lineRule="auto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myu_roslovtseva</cp:lastModifiedBy>
  <cp:revision>8</cp:revision>
  <dcterms:created xsi:type="dcterms:W3CDTF">2025-08-01T08:31:00Z</dcterms:created>
  <dcterms:modified xsi:type="dcterms:W3CDTF">2026-01-16T14:05:47Z</dcterms:modified>
  <cp:version>983040</cp:version>
</cp:coreProperties>
</file>