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5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от «___» __________ 2026 года  № ____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О проведении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регионального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 этапа конкурса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  <w:t xml:space="preserve">«Новогодние огни Ленинградской области»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98"/>
        <w:ind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Правительство Ленинградской области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 Организовать проведение в Ленинградской области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региональн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ого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этапа конкурса </w:t>
      </w:r>
      <w:r>
        <w:rPr>
          <w:rFonts w:ascii="Times New Roman" w:hAnsi="Times New Roman"/>
          <w:sz w:val="28"/>
          <w:szCs w:val="28"/>
          <w:highlight w:val="none"/>
        </w:rPr>
        <w:t xml:space="preserve">«Новогодние огни Ленинградской области».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 Утвердить прилагаемое </w:t>
      </w:r>
      <w:hyperlink w:tooltip="#P32" w:anchor="P32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none"/>
          </w:rPr>
          <w:t xml:space="preserve">Положение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о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роведении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этапа конкурса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«Новогодние огни Ленинградской области»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</w:t>
      </w:r>
      <w:r>
        <w:rPr>
          <w:rFonts w:ascii="Times New Roman" w:hAnsi="Times New Roman" w:cs="Times New Roman"/>
          <w:sz w:val="28"/>
          <w:szCs w:val="28"/>
          <w:highlight w:val="none"/>
          <w:shd w:val="clear" w:color="ffffff" w:themeColor="background1" w:fill="ffffff" w:themeFill="background1"/>
        </w:rPr>
        <w:t xml:space="preserve">сполнением постано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вления возложить на вице-губернатора Ленинградской области по внутренней политике.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 Дрозденко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headerReference w:type="first" r:id="rId10"/>
          <w:footerReference w:type="first" r:id="rId11"/>
          <w:footnotePr/>
          <w:endnotePr/>
          <w:type w:val="nextPage"/>
          <w:pgSz w:w="11906" w:h="16838" w:orient="portrait"/>
          <w:pgMar w:top="709" w:right="850" w:bottom="1134" w:left="992" w:header="709" w:footer="709" w:gutter="0"/>
          <w:cols w:num="1" w:sep="0" w:space="708" w:equalWidth="1"/>
          <w:docGrid w:linePitch="360"/>
          <w:titlePg/>
        </w:sect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  <w:br/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постановлению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___ ___ 2026 года </w:t>
      </w:r>
      <w:r>
        <w:rPr>
          <w:rFonts w:ascii="Times New Roman" w:hAnsi="Times New Roman" w:cs="Times New Roman"/>
          <w:sz w:val="28"/>
          <w:szCs w:val="28"/>
        </w:rPr>
        <w:t xml:space="preserve">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bookmarkStart w:id="0" w:name="undefined"/>
      <w:r>
        <w:rPr>
          <w:b w:val="0"/>
          <w:bCs w:val="0"/>
          <w:sz w:val="28"/>
          <w:szCs w:val="28"/>
          <w:highlight w:val="none"/>
        </w:rPr>
      </w:r>
      <w:bookmarkEnd w:id="0"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ПОЛОЖЕНИЕ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о проведении регионального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этапа конкурса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«Новогодние огни Ленинградской области»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96"/>
        <w:ind w:left="0"/>
        <w:spacing w:before="0" w:beforeAutospacing="0" w:after="0" w:afterAutospacing="0"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Настоящее Положение устанавливает порядок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и условия проведения </w:t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в Ленинградской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регионального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этапа конкурса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«Новогодние огни Ленинградской области»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(далее –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региональный этап Конкурса), связанного</w:t>
        <w:br/>
        <w:t xml:space="preserve">с подготовкой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празднованием Нового года и Рождества Христова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период</w:t>
        <w:br/>
        <w:t xml:space="preserve">с 22 декабря 2025 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ода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по 11 января 2026 года (далее – праздничный период)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егиональный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этап Конкурса проводится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целях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оценки качества оформления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(украшения)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общественных пространств населенных пунктов Ленинградской области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результативности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проведенных на их террито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риях общественных мероприятий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которые способствуют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укреплению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гражданского единства народов Ленинградской области, в праздничный период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Задачами регионального этапа Конкурса являются: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развитие 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бщественной активности населения, консолидация российского общества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укрепление взаимодействия органов местного самоуправления Ленинградской области с населением.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Организатором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регионального этапа Конкурса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является комитет</w:t>
        <w:br/>
        <w:t xml:space="preserve">по местному самоуправлению, межнациональным и межконфессиональным отношениям Ленинградской области (далее – Комитет).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Участниками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регионального этапа Конкурса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являются администрации муниципальных районов, администра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городских и сельских 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оселений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в соответствующих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муниципальных районов, а также администрации муниципального округа и городского округа </w:t>
        <w:br/>
        <w:t xml:space="preserve">Ленинград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на территории которых расположены представленные 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заявках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для участия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населенные пункты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(далее – Участники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Участие в региональном этапе Конкурса осуществляется на добровольной основе.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Участник вправе отозвать заявку на участие в региональном этапе Конкурса путем направления официального уведомления в адрес Комитета.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6. 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егиональный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этап Конкурса проводится по следующим группам населенных пунктов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зависимости от численнос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ти населения и (или) размера: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А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круп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ные населенные пункты Ленинградской области: административные центры муниципальных образований, а также города, имеющие численность постоянно проживающего населения свыше 50 000 человек;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Б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средние населенные пункты Ленинградской области: </w:t>
        <w:br/>
        <w:t xml:space="preserve">города и поселки городского типа, не отнесенные к группе 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В –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малые населенные пункты Ленинградской области:</w:t>
        <w:br/>
        <w:t xml:space="preserve">сельские населенные пункты.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7. К региональному этапу Конкурса до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пускаются заявки, отобранные</w:t>
        <w:br/>
        <w:t xml:space="preserve">по итогам муниципального этапа конкурса «Новогодние огни Ленинградской области», проведенного в порядке, установленном Комитетом </w:t>
        <w:br/>
        <w:t xml:space="preserve">(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далее – муниципальный этап конкурса).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Основанием допуска заявки к участию в региональном этапе Конкурса является включение заявки в перечень,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состоящий из пяти 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явок, набравших наибольшее количество баллов по каждой группе населенных пунктов, утвержденный соответствующим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протоколом конкурсной комиссии по проведению муниципального этапа конкурса (далее соответственно – отобранные заявки).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shd w:val="clear" w:color="ffffff" w:themeColor="background1" w:fill="ffffff" w:themeFill="background1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8. Оценка заявок регионального этапа Конкурса осуществляется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период</w:t>
        <w:br/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с 26 января по 30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 января 2026 года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конкурсной комиссией по проведению регионального этапа Конкурса (далее – конкурсная комиссия)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заочной форме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исходя из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ритериев оценки заявок участников конкурса «Новогодние огни Ленинградской области» (далее – критерии), закрепленных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приложении </w:t>
        <w:br/>
        <w:t xml:space="preserve">к настоящему Положению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shd w:val="clear" w:color="auto" w:fil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Персональный состав конкурсной комиссии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верждается правовым актом Комитета.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9. Оценка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отобранных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заявок определяется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как сумма баллов, присвоенных каждым членом конкурсной комиссии по всем предусмотренным критериям.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Заявкам,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набравшим наибольшее количество баллов, присуждаются призовые </w:t>
        <w:br/>
        <w:t xml:space="preserve">1, 2 и 3 места (далее также – победители и призеры Конкурса).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случае равного количества баллов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 двух и более отобранных заявок, претендующих на одно призовое место,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конкурсная комиссия принимает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решение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тем голосования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простым большинством голосов.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 равенстве голосов решающим становится голос председателя конкурсной комиссии.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10. По результатам проведенной оценки секретарем конкурсной комиссии</w:t>
        <w:br/>
        <w:t xml:space="preserve">в течение трех рабочих дней подготавливается протокол, содержащий информацию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населенных пунктах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 являющихся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 регионального этапа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а по каждой группе населенных пунктов (далее – Протокол)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11. Бюджетные ассигнования на поощрение победителей и призеров Конкурса предоставляются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форме иных межбюджетных трансфертов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бюджетам муниципальных образований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из областного бюджета Ленинградской области,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сточником финансового обеспечения которых являются средства резервного фонда Правительства Ленинградской области (далее – бюджетные ассигнования)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Бюджетные ассигнования предоставляются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согласно присужденным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призовым местам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в следующих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размерах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 А – 450 тыс. рублей за 1 место, 350 тыс. рублей за 2 место,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250 тыс. рублей за 3 место;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 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 350 тыс. рублей 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 1 место, 250 тыс. рублей за 2 место,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150 тыс. рублей за 3 место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группа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– 250 тыс. рублей за 1 место, 200 тыс. рублей за 2 место,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br/>
        <w:t xml:space="preserve">100 тыс. рублей за 3 место.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12. В случае если по итогам регионального этапа Конкурса два и более призовых места присуждены отобранным заявкам, представленным одним  Участником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, бюджетные ассигнования предоставляются такому Участнику</w:t>
        <w:br/>
        <w:t xml:space="preserve">в суммарном размере, соответствующим данным призовым местам.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709" w:right="850" w:bottom="1134" w:left="992" w:header="709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13.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Информация о победителях и призерах регионального этапа Конкурса размещается на официальном сайте организатора.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Положению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онкурса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«Новогодние огни Ленинград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ской области»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r>
    </w:p>
    <w:p>
      <w:pPr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утвержденного постановлением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Правительства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r>
    </w:p>
    <w:p>
      <w:pPr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8"/>
          <w:szCs w:val="28"/>
          <w:u w:val="none"/>
        </w:rPr>
        <w:t xml:space="preserve">Ленинградской области</w:t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sz w:val="28"/>
          <w:szCs w:val="28"/>
          <w:u w:val="none"/>
        </w:rPr>
      </w:r>
    </w:p>
    <w:p>
      <w:pPr>
        <w:pStyle w:val="898"/>
        <w:ind w:left="0" w:right="-29" w:firstLine="0"/>
        <w:jc w:val="right"/>
        <w:spacing w:before="0" w:beforeAutospacing="0" w:after="0" w:afterAutospacing="0" w:line="240" w:lineRule="auto"/>
        <w:tabs>
          <w:tab w:val="left" w:pos="14882" w:leader="none"/>
        </w:tabs>
        <w:rPr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 2026 года №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98"/>
        <w:jc w:val="right"/>
        <w:spacing w:before="0" w:beforeAutospacing="0" w:after="0" w:afterAutospacing="0" w:line="240" w:lineRule="auto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99"/>
        <w:ind w:right="85"/>
        <w:jc w:val="center"/>
        <w:spacing w:before="0" w:beforeAutospacing="0" w:after="0" w:afterAutospacing="0" w:line="240" w:lineRule="auto"/>
        <w:shd w:val="clear" w:color="auto" w:fill="auto"/>
        <w:tabs>
          <w:tab w:val="left" w:pos="5387" w:leader="none"/>
          <w:tab w:val="left" w:pos="6678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КРИТЕРИИ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9"/>
        <w:ind w:right="85"/>
        <w:jc w:val="center"/>
        <w:spacing w:before="0" w:beforeAutospacing="0" w:after="0" w:afterAutospacing="0" w:line="240" w:lineRule="auto"/>
        <w:shd w:val="clear" w:color="auto" w:fill="auto"/>
        <w:tabs>
          <w:tab w:val="left" w:pos="5387" w:leader="none"/>
          <w:tab w:val="left" w:pos="6678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  <w:t xml:space="preserve">оценки заявок участников конкурса</w:t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pStyle w:val="899"/>
        <w:ind w:right="85"/>
        <w:jc w:val="center"/>
        <w:spacing w:before="0" w:beforeAutospacing="0" w:after="0" w:afterAutospacing="0" w:line="240" w:lineRule="auto"/>
        <w:shd w:val="clear" w:color="auto" w:fill="auto"/>
        <w:tabs>
          <w:tab w:val="left" w:pos="5387" w:leader="none"/>
          <w:tab w:val="left" w:pos="6678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</w:rPr>
        <w:t xml:space="preserve">«Новогодние огни Ленинградской области»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9"/>
        <w:ind w:right="85"/>
        <w:jc w:val="center"/>
        <w:spacing w:before="0" w:beforeAutospacing="0" w:after="0" w:afterAutospacing="0" w:line="240" w:lineRule="auto"/>
        <w:shd w:val="clear" w:color="auto" w:fill="auto"/>
        <w:tabs>
          <w:tab w:val="left" w:pos="5387" w:leader="none"/>
          <w:tab w:val="left" w:pos="6678" w:leader="none"/>
        </w:tabs>
        <w:rPr>
          <w:b w:val="0"/>
          <w:bCs w:val="0"/>
          <w:color w:val="000000" w:themeColor="text1"/>
          <w:sz w:val="28"/>
          <w:szCs w:val="28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tbl>
      <w:tblPr>
        <w:tblW w:w="155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0"/>
        <w:gridCol w:w="2594"/>
        <w:gridCol w:w="10489"/>
        <w:gridCol w:w="1559"/>
      </w:tblGrid>
      <w:tr>
        <w:tblPrEx/>
        <w:trPr>
          <w:trHeight w:val="2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критерия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Баллы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0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5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и масштаб новогодних ярмарок и выставок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организованы масштабные ярмарки/выставки с разнообразной программой, широким выбором товаров/экспонатов и высокой посещаемостью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7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проведены небольшие мероприятия (1–2 точки торговли или экспозиции), ограниченный ассортимент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45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ярмарки и выставки отсутствуют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97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зимней горки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размещено несколько горок (от трёх и более) в разных локациях; каждая оборудована с соблюдением норм безопасности и оформлена в праздничном стиле, гармонирующем с общим оформлением территории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79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имеется от одной до двух горок, оформленных в базовом варианте (без тематического декора), с частичным соблюдением требований безопасности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935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горка отсутствует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blPrEx/>
        <w:trPr>
          <w:trHeight w:val="84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Соответствие дизайн-коду муниципального образования (при наличии)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полное соответствие дизайн‑коду (если он утверждён); все решения согласованы с установленными требованиями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4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частичное соответствие дизайн‑коду: некоторые элементы согласуются, но есть существенные отклонения; дизайн-код не предусмотрен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2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формление противоречит утверждённому дизайн‑коду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18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проведенных новогодних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асыщенная программа (5+ разнообразных мероприятий)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99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проведено 1–2 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мероприятия не проводились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1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Численность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участников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(аудитории) новогодних мероприятий, в соотношении с общей численностью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4"/>
                <w:szCs w:val="24"/>
                <w:highlight w:val="white"/>
              </w:rPr>
              <w:t xml:space="preserve">охват свыше 5 %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охват 1–5 % населения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65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3"/>
                <w:sz w:val="24"/>
                <w:szCs w:val="24"/>
                <w:highlight w:val="white"/>
              </w:rPr>
              <w:t xml:space="preserve">мероприятия собрали менее 1 % жителей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821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Наличие локальной идентичности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яркое проявление локальной идентичности: использование региональных мотивов, народных промыслов, исторических отсылок в декоре и мероприятиях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3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фрагментарные элементы локальной тематики (1–2 символа), не вписанные в общую концепцию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49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2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259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048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оформление не отражает местные традиции, символы или историю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00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Максимальный балл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559" w:type="dxa"/>
            <w:textDirection w:val="lrTb"/>
            <w:noWrap w:val="false"/>
          </w:tcPr>
          <w:p>
            <w:pPr>
              <w:ind w:left="-822" w:firstLine="82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continuous"/>
      <w:pgSz w:w="16838" w:h="11906" w:orient="landscape"/>
      <w:pgMar w:top="992" w:right="709" w:bottom="850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rFonts w:ascii="Times New Roman" w:hAnsi="Times New Roman" w:cs="Times New Roman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  <w:p>
    <w:pPr>
      <w:pStyle w:val="745"/>
      <w:rPr>
        <w:rFonts w:ascii="Times New Roman" w:hAnsi="Times New Roman" w:cs="Times New Roman"/>
      </w:rPr>
    </w:pPr>
    <w:r>
      <w:rPr>
        <w:rFonts w:ascii="Times New Roman" w:hAnsi="Times New Roman" w:eastAsia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725"/>
    <w:link w:val="717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725"/>
    <w:link w:val="718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725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725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02">
    <w:name w:val="Heading 6 Char"/>
    <w:basedOn w:val="725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03">
    <w:name w:val="Heading 7 Char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4">
    <w:name w:val="Heading 8 Char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05">
    <w:name w:val="Heading 9 Char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06">
    <w:name w:val="Title Char"/>
    <w:basedOn w:val="725"/>
    <w:link w:val="737"/>
    <w:uiPriority w:val="10"/>
    <w:rPr>
      <w:sz w:val="48"/>
      <w:szCs w:val="48"/>
    </w:rPr>
  </w:style>
  <w:style w:type="character" w:styleId="707">
    <w:name w:val="Subtitle Char"/>
    <w:basedOn w:val="725"/>
    <w:link w:val="739"/>
    <w:uiPriority w:val="11"/>
    <w:rPr>
      <w:sz w:val="24"/>
      <w:szCs w:val="24"/>
    </w:rPr>
  </w:style>
  <w:style w:type="character" w:styleId="708">
    <w:name w:val="Quote Char"/>
    <w:link w:val="741"/>
    <w:uiPriority w:val="29"/>
    <w:rPr>
      <w:i/>
    </w:rPr>
  </w:style>
  <w:style w:type="character" w:styleId="709">
    <w:name w:val="Intense Quote Char"/>
    <w:link w:val="743"/>
    <w:uiPriority w:val="30"/>
    <w:rPr>
      <w:i/>
    </w:rPr>
  </w:style>
  <w:style w:type="character" w:styleId="710">
    <w:name w:val="Header Char"/>
    <w:basedOn w:val="725"/>
    <w:link w:val="745"/>
    <w:uiPriority w:val="99"/>
  </w:style>
  <w:style w:type="character" w:styleId="711">
    <w:name w:val="Footer Char"/>
    <w:basedOn w:val="725"/>
    <w:link w:val="747"/>
    <w:uiPriority w:val="99"/>
  </w:style>
  <w:style w:type="character" w:styleId="712">
    <w:name w:val="Caption Char"/>
    <w:basedOn w:val="725"/>
    <w:link w:val="749"/>
    <w:uiPriority w:val="35"/>
    <w:rPr>
      <w:b/>
      <w:bCs/>
      <w:color w:val="4f81bd" w:themeColor="accent1"/>
      <w:sz w:val="18"/>
      <w:szCs w:val="18"/>
    </w:rPr>
  </w:style>
  <w:style w:type="character" w:styleId="713">
    <w:name w:val="Footnote Text Char"/>
    <w:link w:val="878"/>
    <w:uiPriority w:val="99"/>
    <w:rPr>
      <w:sz w:val="18"/>
    </w:rPr>
  </w:style>
  <w:style w:type="character" w:styleId="714">
    <w:name w:val="Endnote Text Char"/>
    <w:link w:val="881"/>
    <w:uiPriority w:val="99"/>
    <w:rPr>
      <w:sz w:val="20"/>
    </w:rPr>
  </w:style>
  <w:style w:type="paragraph" w:styleId="715" w:default="1">
    <w:name w:val="Normal"/>
    <w:qFormat/>
  </w:style>
  <w:style w:type="paragraph" w:styleId="716">
    <w:name w:val="Heading 1"/>
    <w:basedOn w:val="715"/>
    <w:next w:val="715"/>
    <w:link w:val="72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2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73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15"/>
    <w:next w:val="715"/>
    <w:link w:val="73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15"/>
    <w:next w:val="715"/>
    <w:link w:val="73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15"/>
    <w:next w:val="715"/>
    <w:link w:val="73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22">
    <w:name w:val="Heading 7"/>
    <w:basedOn w:val="715"/>
    <w:next w:val="715"/>
    <w:link w:val="73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23">
    <w:name w:val="Heading 8"/>
    <w:basedOn w:val="715"/>
    <w:next w:val="715"/>
    <w:link w:val="73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24">
    <w:name w:val="Heading 9"/>
    <w:basedOn w:val="715"/>
    <w:next w:val="715"/>
    <w:link w:val="73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3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Title"/>
    <w:basedOn w:val="715"/>
    <w:next w:val="715"/>
    <w:link w:val="738"/>
    <w:uiPriority w:val="10"/>
    <w:qFormat/>
    <w:pPr>
      <w:contextualSpacing/>
      <w:spacing w:before="3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715"/>
    <w:next w:val="715"/>
    <w:link w:val="740"/>
    <w:uiPriority w:val="11"/>
    <w:qFormat/>
    <w:pPr>
      <w:spacing w:before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715"/>
    <w:next w:val="715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5"/>
    <w:next w:val="715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15"/>
    <w:link w:val="7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 w:customStyle="1">
    <w:name w:val="Верхний колонтитул Знак"/>
    <w:link w:val="745"/>
    <w:uiPriority w:val="99"/>
  </w:style>
  <w:style w:type="paragraph" w:styleId="747">
    <w:name w:val="Footer"/>
    <w:basedOn w:val="715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8" w:customStyle="1">
    <w:name w:val="Нижний колонтитул Знак"/>
    <w:link w:val="747"/>
    <w:uiPriority w:val="99"/>
  </w:style>
  <w:style w:type="paragraph" w:styleId="749">
    <w:name w:val="Caption"/>
    <w:basedOn w:val="715"/>
    <w:next w:val="715"/>
    <w:link w:val="75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50" w:customStyle="1">
    <w:name w:val="Название объекта Знак"/>
    <w:link w:val="749"/>
    <w:uiPriority w:val="35"/>
    <w:rPr>
      <w:b/>
      <w:bCs/>
      <w:color w:val="5b9bd5" w:themeColor="accent1"/>
      <w:sz w:val="18"/>
      <w:szCs w:val="18"/>
    </w:rPr>
  </w:style>
  <w:style w:type="table" w:styleId="751">
    <w:name w:val="Table Grid"/>
    <w:basedOn w:val="7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basedOn w:val="72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Plain Table 1"/>
    <w:basedOn w:val="726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basedOn w:val="7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1" w:customStyle="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2" w:customStyle="1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3" w:customStyle="1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4" w:customStyle="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5" w:customStyle="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6" w:customStyle="1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5" w:customStyle="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6" w:customStyle="1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7" w:customStyle="1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8" w:customStyle="1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9" w:customStyle="1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4" w:customStyle="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5" w:customStyle="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6" w:customStyle="1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7" w:customStyle="1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8" w:customStyle="1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9" w:customStyle="1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8" w:customStyle="1">
    <w:name w:val="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9" w:customStyle="1">
    <w:name w:val="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0" w:customStyle="1">
    <w:name w:val="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1" w:customStyle="1">
    <w:name w:val="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2" w:customStyle="1">
    <w:name w:val="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3" w:customStyle="1">
    <w:name w:val="Bordered &amp; 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4" w:customStyle="1">
    <w:name w:val="Bordered &amp; 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5" w:customStyle="1">
    <w:name w:val="Bordered &amp; 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6" w:customStyle="1">
    <w:name w:val="Bordered &amp; 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7" w:customStyle="1">
    <w:name w:val="Bordered &amp; 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8" w:customStyle="1">
    <w:name w:val="Bordered &amp; 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9" w:customStyle="1">
    <w:name w:val="Bordered &amp; 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0" w:customStyle="1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2" w:customStyle="1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3" w:customStyle="1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4" w:customStyle="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5" w:customStyle="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6" w:customStyle="1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563c1" w:themeColor="hyperlink"/>
      <w:u w:val="single"/>
    </w:rPr>
  </w:style>
  <w:style w:type="paragraph" w:styleId="878">
    <w:name w:val="footnote text"/>
    <w:basedOn w:val="71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71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715"/>
    <w:next w:val="715"/>
    <w:uiPriority w:val="39"/>
    <w:unhideWhenUsed/>
    <w:pPr>
      <w:spacing w:after="57"/>
    </w:pPr>
  </w:style>
  <w:style w:type="paragraph" w:styleId="885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86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87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88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89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0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1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892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15"/>
    <w:next w:val="715"/>
    <w:uiPriority w:val="99"/>
    <w:unhideWhenUsed/>
    <w:pPr>
      <w:spacing w:after="0"/>
    </w:pPr>
  </w:style>
  <w:style w:type="paragraph" w:styleId="895">
    <w:name w:val="No Spacing"/>
    <w:basedOn w:val="715"/>
    <w:uiPriority w:val="1"/>
    <w:qFormat/>
    <w:pPr>
      <w:spacing w:after="0" w:line="240" w:lineRule="auto"/>
    </w:pPr>
  </w:style>
  <w:style w:type="paragraph" w:styleId="896">
    <w:name w:val="List Paragraph"/>
    <w:basedOn w:val="715"/>
    <w:uiPriority w:val="34"/>
    <w:qFormat/>
    <w:pPr>
      <w:contextualSpacing/>
      <w:ind w:left="720"/>
    </w:pPr>
  </w:style>
  <w:style w:type="paragraph" w:styleId="897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b/>
      <w:szCs w:val="20"/>
      <w:lang w:eastAsia="ru-RU"/>
    </w:rPr>
  </w:style>
  <w:style w:type="paragraph" w:styleId="898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Cs w:val="20"/>
      <w:lang w:eastAsia="ru-RU"/>
    </w:rPr>
  </w:style>
  <w:style w:type="paragraph" w:styleId="899" w:customStyle="1">
    <w:name w:val="Body text (2)"/>
    <w:pPr>
      <w:contextualSpacing w:val="0"/>
      <w:ind w:left="0" w:right="0" w:firstLine="0"/>
      <w:jc w:val="both"/>
      <w:keepLines w:val="0"/>
      <w:keepNext w:val="0"/>
      <w:pageBreakBefore w:val="0"/>
      <w:spacing w:before="600" w:beforeAutospacing="0" w:after="0" w:afterAutospacing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Горленко Светлана Анатольевна</dc:creator>
  <cp:lastModifiedBy>da_pynko</cp:lastModifiedBy>
  <cp:revision>15</cp:revision>
  <dcterms:created xsi:type="dcterms:W3CDTF">2025-12-29T08:02:00Z</dcterms:created>
  <dcterms:modified xsi:type="dcterms:W3CDTF">2026-01-26T12:12:32Z</dcterms:modified>
</cp:coreProperties>
</file>