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  <w:t xml:space="preserve">ПРОЕКТ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rPr>
          <w:b/>
          <w:bCs/>
          <w:sz w:val="28"/>
          <w:szCs w:val="28"/>
          <w:highlight w:val="none"/>
        </w:rPr>
      </w:pPr>
      <w:r/>
      <w:bookmarkStart w:id="0" w:name="_GoBack"/>
      <w:r/>
      <w:bookmarkEnd w:id="0"/>
      <w:r>
        <w:rPr>
          <w:b/>
          <w:sz w:val="28"/>
          <w:szCs w:val="28"/>
        </w:rPr>
        <w:t xml:space="preserve">АДМИНИСТРАЦИЯ ЛЕНИНГРАДСКОЙ ОБЛАСТИ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КОМИТЕТ ПО МОЛОДЕЖНОЙ ПОЛИТИКЕ 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ЛЕНИНГРАДСКОЙ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 Р И К А З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__ _____________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 № 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положения о региональной экспертной комиссии по отбору </w:t>
      </w:r>
      <w:r>
        <w:rPr>
          <w:b/>
          <w:sz w:val="28"/>
          <w:szCs w:val="28"/>
        </w:rPr>
        <w:t xml:space="preserve">м</w:t>
      </w:r>
      <w:r>
        <w:rPr>
          <w:b/>
          <w:sz w:val="28"/>
          <w:szCs w:val="28"/>
        </w:rPr>
        <w:t xml:space="preserve">униципальных образований Ленинградской области для предоставления </w:t>
        <w:br/>
        <w:t xml:space="preserve">и распределения субсидии из областного бюджета Ленинградской области бюджетам муниципальных образований Ленинградской области на поддержку проектов школьного инициативного бюджетирования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 целях реализации Порядка предоставления и распределения субсидии </w:t>
        <w:br/>
      </w:r>
      <w:r>
        <w:rPr>
          <w:sz w:val="28"/>
          <w:szCs w:val="28"/>
        </w:rPr>
        <w:t xml:space="preserve">из областного бюджета Ленинградской области бюджетам муниципальных образований Ленинградской области на поддержку проектов школьного инициативного бюджетирования, утвержденного постановлением Правительства Ленинградской области от 12 декабря</w:t>
      </w:r>
      <w:r>
        <w:rPr>
          <w:sz w:val="28"/>
          <w:szCs w:val="28"/>
        </w:rPr>
        <w:t xml:space="preserve"> 2025 года № 1054 «О</w:t>
      </w:r>
      <w:r>
        <w:rPr>
          <w:sz w:val="28"/>
          <w:szCs w:val="28"/>
        </w:rPr>
        <w:t xml:space="preserve"> внесении изменений </w:t>
        <w:br/>
        <w:t xml:space="preserve">в постановление Правительства Ленинградской области от 14 ноября 2013 года </w:t>
        <w:br/>
        <w:t xml:space="preserve">№ 399 «Об утверждении государственной программы Ленинградской области «Устойчивое общественное развитие в Ленинградской области» (далее – Порядок), приказываю: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В соответствии с пунктом 3.8. Порядка утвердить положение </w:t>
        <w:br/>
        <w:t xml:space="preserve">о </w:t>
      </w:r>
      <w:r>
        <w:rPr>
          <w:color w:val="000000"/>
          <w:sz w:val="28"/>
          <w:szCs w:val="28"/>
        </w:rPr>
        <w:t xml:space="preserve">ре</w:t>
      </w:r>
      <w:r>
        <w:rPr>
          <w:color w:val="000000"/>
          <w:sz w:val="28"/>
          <w:szCs w:val="28"/>
        </w:rPr>
        <w:t xml:space="preserve">гиональной экспертной комиссии по отбору муниципальных образований Ленинградской области для предоставления и распределения субсидии </w:t>
        <w:br/>
        <w:t xml:space="preserve">из областного бюджета Ленинградской области бюджетам муниципальных образований Ленинградской области на поддержку проектов</w:t>
      </w:r>
      <w:r>
        <w:rPr>
          <w:color w:val="000000"/>
          <w:sz w:val="28"/>
          <w:szCs w:val="28"/>
        </w:rPr>
        <w:t xml:space="preserve"> школьного инициативного бюджетирования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согласно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риложению к настоящему приказу.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2"/>
        <w:numPr>
          <w:ilvl w:val="0"/>
          <w:numId w:val="2"/>
        </w:numPr>
        <w:contextualSpacing w:val="0"/>
        <w:ind w:left="0"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Контроль за</w:t>
      </w:r>
      <w:r>
        <w:rPr>
          <w:color w:val="000000"/>
          <w:sz w:val="28"/>
          <w:szCs w:val="28"/>
        </w:rPr>
        <w:t xml:space="preserve"> исполнением настоящего приказа </w:t>
      </w:r>
      <w:r>
        <w:rPr>
          <w:color w:val="000000"/>
          <w:sz w:val="28"/>
          <w:szCs w:val="28"/>
        </w:rPr>
        <w:t xml:space="preserve">возложить на первого заместителя председателя комитета по молодежной политике Ленинградской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keepNext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М.А. Соколов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560" w:left="1134" w:header="709" w:footer="709" w:gutter="0"/>
          <w:cols w:num="1" w:sep="0" w:space="708" w:equalWidth="1"/>
          <w:docGrid w:linePitch="360"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комитета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 молодежной политике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Ленинградской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«__» _______________ 2026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clear" w:color="auto" w:fill="ffffff"/>
        <w:rPr>
          <w:b/>
          <w:color w:val="333333"/>
          <w:sz w:val="23"/>
          <w:szCs w:val="23"/>
        </w:rPr>
      </w:pPr>
      <w:r>
        <w:rPr>
          <w:b/>
          <w:color w:val="333333"/>
          <w:sz w:val="23"/>
          <w:szCs w:val="23"/>
        </w:rPr>
      </w:r>
      <w:r>
        <w:rPr>
          <w:b/>
          <w:color w:val="333333"/>
          <w:sz w:val="23"/>
          <w:szCs w:val="23"/>
        </w:rPr>
      </w:r>
      <w:r>
        <w:rPr>
          <w:b/>
          <w:color w:val="333333"/>
          <w:sz w:val="23"/>
          <w:szCs w:val="23"/>
        </w:rPr>
      </w:r>
    </w:p>
    <w:p>
      <w:pPr>
        <w:jc w:val="center"/>
        <w:shd w:val="clear" w:color="auto" w:fill="ffffff"/>
        <w:rPr>
          <w:b/>
          <w:bCs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П</w:t>
      </w:r>
      <w:r>
        <w:rPr>
          <w:b/>
          <w:color w:val="333333"/>
          <w:sz w:val="28"/>
          <w:szCs w:val="28"/>
        </w:rPr>
        <w:t xml:space="preserve">оложение </w:t>
      </w:r>
      <w:r>
        <w:rPr>
          <w:b/>
          <w:color w:val="333333"/>
          <w:sz w:val="28"/>
          <w:szCs w:val="28"/>
        </w:rPr>
        <w:t xml:space="preserve">о </w:t>
      </w:r>
      <w:r>
        <w:rPr>
          <w:b/>
          <w:color w:val="333333"/>
          <w:sz w:val="28"/>
          <w:szCs w:val="28"/>
        </w:rPr>
        <w:t xml:space="preserve">региональной экспертной комиссии </w:t>
      </w:r>
      <w:r>
        <w:rPr>
          <w:b/>
          <w:bCs/>
          <w:color w:val="333333"/>
          <w:sz w:val="28"/>
          <w:szCs w:val="28"/>
        </w:rPr>
      </w:r>
      <w:r>
        <w:rPr>
          <w:b/>
          <w:bCs/>
          <w:color w:val="333333"/>
          <w:sz w:val="28"/>
          <w:szCs w:val="28"/>
        </w:rPr>
      </w:r>
    </w:p>
    <w:p>
      <w:pPr>
        <w:jc w:val="center"/>
        <w:shd w:val="clear" w:color="auto" w:fill="ffffff"/>
        <w:rPr>
          <w:b/>
          <w:bCs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по отбору муниципальных образований Ленинградской области </w:t>
      </w:r>
      <w:r>
        <w:rPr>
          <w:b/>
          <w:bCs/>
          <w:color w:val="333333"/>
          <w:sz w:val="28"/>
          <w:szCs w:val="28"/>
        </w:rPr>
      </w:r>
      <w:r>
        <w:rPr>
          <w:b/>
          <w:bCs/>
          <w:color w:val="333333"/>
          <w:sz w:val="28"/>
          <w:szCs w:val="28"/>
        </w:rPr>
      </w:r>
    </w:p>
    <w:p>
      <w:pPr>
        <w:jc w:val="center"/>
        <w:shd w:val="clear" w:color="auto" w:fill="ffffff"/>
        <w:rPr>
          <w:b/>
          <w:bCs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для предоставления и распределения субсидии </w:t>
      </w:r>
      <w:r>
        <w:rPr>
          <w:b/>
          <w:bCs/>
          <w:color w:val="333333"/>
          <w:sz w:val="28"/>
          <w:szCs w:val="28"/>
        </w:rPr>
      </w:r>
      <w:r>
        <w:rPr>
          <w:b/>
          <w:bCs/>
          <w:color w:val="333333"/>
          <w:sz w:val="28"/>
          <w:szCs w:val="28"/>
        </w:rPr>
      </w:r>
    </w:p>
    <w:p>
      <w:pPr>
        <w:jc w:val="center"/>
        <w:shd w:val="clear" w:color="auto" w:fill="ffffff"/>
        <w:rPr>
          <w:b/>
          <w:bCs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из областного бюджета Ленинградской области </w:t>
      </w:r>
      <w:r>
        <w:rPr>
          <w:b/>
          <w:bCs/>
          <w:color w:val="333333"/>
          <w:sz w:val="28"/>
          <w:szCs w:val="28"/>
        </w:rPr>
      </w:r>
      <w:r>
        <w:rPr>
          <w:b/>
          <w:bCs/>
          <w:color w:val="333333"/>
          <w:sz w:val="28"/>
          <w:szCs w:val="28"/>
        </w:rPr>
      </w:r>
    </w:p>
    <w:p>
      <w:pPr>
        <w:jc w:val="center"/>
        <w:shd w:val="clear" w:color="auto" w:fill="ffffff"/>
        <w:rPr>
          <w:b/>
          <w:bCs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бюджетам муниципальных образований Ленинградской области </w:t>
      </w:r>
      <w:r>
        <w:rPr>
          <w:b/>
          <w:bCs/>
          <w:color w:val="333333"/>
          <w:sz w:val="28"/>
          <w:szCs w:val="28"/>
        </w:rPr>
      </w:r>
      <w:r>
        <w:rPr>
          <w:b/>
          <w:bCs/>
          <w:color w:val="333333"/>
          <w:sz w:val="28"/>
          <w:szCs w:val="28"/>
        </w:rPr>
      </w:r>
    </w:p>
    <w:p>
      <w:pPr>
        <w:jc w:val="center"/>
        <w:shd w:val="clear" w:color="auto" w:fill="ffffff"/>
        <w:rPr>
          <w:b/>
          <w:bCs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на поддержку проектов</w:t>
      </w:r>
      <w:r>
        <w:rPr>
          <w:b/>
          <w:color w:val="333333"/>
          <w:sz w:val="28"/>
          <w:szCs w:val="28"/>
        </w:rPr>
        <w:t xml:space="preserve"> школьного инициативного бюджетирования</w:t>
      </w:r>
      <w:r>
        <w:rPr>
          <w:b/>
          <w:bCs/>
          <w:color w:val="333333"/>
          <w:sz w:val="28"/>
          <w:szCs w:val="28"/>
        </w:rPr>
      </w:r>
      <w:r>
        <w:rPr>
          <w:b/>
          <w:bCs/>
          <w:color w:val="333333"/>
          <w:sz w:val="28"/>
          <w:szCs w:val="28"/>
        </w:rPr>
      </w:r>
    </w:p>
    <w:p>
      <w:pPr>
        <w:jc w:val="both"/>
        <w:shd w:val="clear" w:color="auto" w:fill="ffffff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</w:r>
      <w:r>
        <w:rPr>
          <w:b/>
          <w:color w:val="333333"/>
          <w:sz w:val="28"/>
          <w:szCs w:val="28"/>
        </w:rPr>
      </w:r>
      <w:r>
        <w:rPr>
          <w:b/>
          <w:color w:val="333333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1. Настоящее Положение определяет порядок и условия деятельности региональной экспертной комиссии</w:t>
      </w:r>
      <w:r>
        <w:rPr>
          <w:sz w:val="28"/>
          <w:szCs w:val="28"/>
        </w:rPr>
        <w:t xml:space="preserve"> по отбору муниципальных образований Ленинградской области для предоставления и распределения субсидии </w:t>
        <w:br/>
        <w:t xml:space="preserve">из областного бюджета Ленинградской области бюджетам муниципальных образований Ленинградской области на поддержку проектов</w:t>
      </w:r>
      <w:r>
        <w:rPr>
          <w:sz w:val="28"/>
          <w:szCs w:val="28"/>
        </w:rPr>
        <w:t xml:space="preserve"> школьного инициативного бюджетирования</w:t>
      </w:r>
      <w:r>
        <w:rPr>
          <w:sz w:val="28"/>
          <w:szCs w:val="28"/>
        </w:rPr>
        <w:t xml:space="preserve"> (далее соответственно - Комиссия, конкурсный отбор) в целях реализации Постановления Правительства Ленинградской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12 декабря</w:t>
      </w:r>
      <w:r>
        <w:rPr>
          <w:sz w:val="28"/>
          <w:szCs w:val="28"/>
        </w:rPr>
        <w:t xml:space="preserve"> 2025 года № 1054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2. Комиссия осуществляет следующие функции: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проводит оценку п</w:t>
      </w:r>
      <w:r>
        <w:rPr>
          <w:sz w:val="28"/>
          <w:szCs w:val="28"/>
          <w:highlight w:val="none"/>
        </w:rPr>
        <w:t xml:space="preserve">роектов, содержащихся в заявках муниципальных образований Ленинградской области</w:t>
      </w:r>
      <w:r>
        <w:rPr>
          <w:sz w:val="28"/>
          <w:szCs w:val="28"/>
          <w:highlight w:val="none"/>
        </w:rPr>
        <w:t xml:space="preserve"> в соответствии с критериями (Приложение 3 к Порядку)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формирует и утверждает сводный перечень проектов, </w:t>
      </w:r>
      <w:r>
        <w:rPr>
          <w:sz w:val="28"/>
          <w:szCs w:val="28"/>
          <w:highlight w:val="none"/>
        </w:rPr>
        <w:t xml:space="preserve">содержащихся </w:t>
        <w:br/>
        <w:t xml:space="preserve">в заявках муниципальных образований</w:t>
      </w:r>
      <w:r>
        <w:rPr>
          <w:sz w:val="28"/>
          <w:szCs w:val="28"/>
          <w:highlight w:val="none"/>
        </w:rPr>
        <w:t xml:space="preserve"> Ленинградской области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 соответствии с пунктом 3.8. Порядка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готовит предложение о распределении в текущем финансовом году средств субсидии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3. Состав Комиссии утверждается распоряжением комитета </w:t>
        <w:br/>
        <w:t xml:space="preserve">по молодежной политике Ленинградской области </w:t>
      </w:r>
      <w:r>
        <w:rPr>
          <w:sz w:val="28"/>
          <w:szCs w:val="28"/>
        </w:rPr>
        <w:t xml:space="preserve">(далее – Комитет).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4. Комиссия формируется в составе председателя Комиссии, заместителя председателя Комиссии, секретаря Комиссии и членов Комиссии.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5. Председатель Комиссии: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осуществляет общее руководство деятельностью Комиссии;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утверждает повестку дня, дату, время и место проведения заседания Комиссии;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ведет заседания Комиссии.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6. В отсутствие председателя Комиссии его функции исполняет заместитель председателя Комиссии.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7. Члены К</w:t>
      </w:r>
      <w:r>
        <w:rPr>
          <w:sz w:val="28"/>
          <w:szCs w:val="28"/>
        </w:rPr>
        <w:t xml:space="preserve">омиссии приним</w:t>
      </w:r>
      <w:r>
        <w:rPr>
          <w:sz w:val="28"/>
          <w:szCs w:val="28"/>
        </w:rPr>
        <w:t xml:space="preserve">ают личное участие в заседании К</w:t>
      </w:r>
      <w:r>
        <w:rPr>
          <w:sz w:val="28"/>
          <w:szCs w:val="28"/>
        </w:rPr>
        <w:t xml:space="preserve">омиссии.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8. Члены Комиссии осуществляют свою деятельность на безвозмездной основе.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9. Делегирование полномочий члена Комиссии иному лицу </w:t>
        <w:br/>
        <w:t xml:space="preserve">не допускается.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10. Секретарь Комиссии: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обеспечивает ознакомление членов Комиссии с проектами, содержащимися в заявках муниципальных образований Ленинградской области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осуществляет подготовку материалов к заседаниям Комиссии;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уведомляет членов Комиссии о повестке, месте, дате и времени проведения заседаний Комиссии;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ведет протоколы заседаний Комиссии и представляет их председателю комиссии для подписания;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обеспечивает хранение протоколов заседаний Комиссии;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направляет протоколы заседаний Комиссии в Комитет.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11. Заседание Комиссии считается правомочным для принятия решений, если на нем присутствует не менее половины от общего числа ее членов.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Заседание Комиссии проводится как очно, так и с использованием видеоконференцсвязи или в смешанном формате.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12. В случае если лицо, входящее в состав Комиссии, лично (прямо или косвенно) заинтересовано в итогах рассмотрения Комиссией </w:t>
      </w:r>
      <w:r>
        <w:rPr>
          <w:sz w:val="28"/>
          <w:szCs w:val="28"/>
        </w:rPr>
        <w:t xml:space="preserve">проектов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или имеются иные обстоятельства, способные повлиять на его участие в заседании, указанное лицо обязано проинформировать об этом Комиссию до начала заседания Комиссии и прекратить участие в заседании Комиссии.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13. Заседание Комиссии проводится в срок, установленный пунктом 3.8. </w:t>
      </w:r>
      <w:r>
        <w:rPr>
          <w:sz w:val="28"/>
          <w:szCs w:val="28"/>
          <w:highlight w:val="none"/>
        </w:rPr>
        <w:t xml:space="preserve">Порядка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14. Решение Комиссии принимается простым большинством голосов присутствующих на заседании членов Комиссии. В случае равенства голосов решающим является голос председательствующего на заседании.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15. Члены Комиссии обладают равными правами при обсуждении вопросов, рассматриваемых на заседании Комиссии.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16. Решение Комиссии об определении победителей конкурсного отбора оформляется протоколом, включающим в себя информацию: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об участниках конкурсного отбора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об </w:t>
      </w:r>
      <w:r>
        <w:rPr>
          <w:sz w:val="28"/>
          <w:szCs w:val="28"/>
          <w:highlight w:val="none"/>
        </w:rPr>
        <w:t xml:space="preserve">оценке п</w:t>
      </w:r>
      <w:r>
        <w:rPr>
          <w:sz w:val="28"/>
          <w:szCs w:val="28"/>
          <w:highlight w:val="none"/>
        </w:rPr>
        <w:t xml:space="preserve">роектов, содержащихся в заявках муниципальных образований Ленинградской области</w:t>
      </w:r>
      <w:r>
        <w:rPr>
          <w:sz w:val="28"/>
          <w:szCs w:val="28"/>
          <w:highlight w:val="none"/>
        </w:rPr>
        <w:t xml:space="preserve"> в соответствии </w:t>
      </w:r>
      <w:r>
        <w:rPr>
          <w:sz w:val="28"/>
          <w:szCs w:val="28"/>
          <w:highlight w:val="none"/>
        </w:rPr>
        <w:t xml:space="preserve">с Приложением 3 </w:t>
        <w:br/>
        <w:t xml:space="preserve">к Порядку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 </w:t>
      </w:r>
      <w:r>
        <w:rPr>
          <w:sz w:val="28"/>
          <w:szCs w:val="28"/>
          <w:highlight w:val="none"/>
        </w:rPr>
        <w:t xml:space="preserve">предложении распределения в текущем финансовом году средств субсидии на очередной финансовый год и на плановый период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Протокол подписывается председательствующим на заседании Комиссии,</w:t>
      </w:r>
      <w:r>
        <w:rPr>
          <w:sz w:val="28"/>
          <w:szCs w:val="28"/>
        </w:rPr>
        <w:t xml:space="preserve"> </w:t>
        <w:br/>
      </w:r>
      <w:r>
        <w:rPr>
          <w:sz w:val="28"/>
          <w:szCs w:val="28"/>
        </w:rPr>
        <w:t xml:space="preserve">а также секретарем Комиссии и размещается на официальном сайте Комитета </w:t>
        <w:br/>
        <w:t xml:space="preserve">в информационно-телекоммуникационной сети «Интернет» не позднее пяти рабочих дней со дня его подписания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850" w:bottom="284" w:left="1418" w:header="397" w:footer="39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Georgia">
    <w:panose1 w:val="02040502050405020303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Lucida Sans Unicode">
    <w:panose1 w:val="020B0603030804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7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7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21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93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65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37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09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81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53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25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egacy w:legacy="1" w:legacyIndent="360" w:legacySpace="0"/>
      <w:lvlJc w:val="left"/>
      <w:pPr>
        <w:ind w:left="36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7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7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8"/>
  </w:num>
  <w:num w:numId="7">
    <w:abstractNumId w:val="9"/>
  </w:num>
  <w:num w:numId="8">
    <w:abstractNumId w:val="11"/>
  </w:num>
  <w:num w:numId="9">
    <w:abstractNumId w:val="6"/>
  </w:num>
  <w:num w:numId="10">
    <w:abstractNumId w:val="2"/>
  </w:num>
  <w:num w:numId="11">
    <w:abstractNumId w:val="9"/>
    <w:lvlOverride w:ilvl="0">
      <w:startOverride w:val="1"/>
    </w:lvlOverride>
  </w:num>
  <w:num w:numId="12">
    <w:abstractNumId w:val="2"/>
  </w:num>
  <w:num w:numId="13">
    <w:abstractNumId w:val="11"/>
  </w:num>
  <w:num w:numId="14">
    <w:abstractNumId w:val="6"/>
  </w:num>
  <w:num w:numId="15">
    <w:abstractNumId w:val="10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4">
    <w:name w:val="Heading 1 Char"/>
    <w:basedOn w:val="865"/>
    <w:link w:val="859"/>
    <w:uiPriority w:val="9"/>
    <w:rPr>
      <w:rFonts w:ascii="Arial" w:hAnsi="Arial" w:eastAsia="Arial" w:cs="Arial"/>
      <w:sz w:val="40"/>
      <w:szCs w:val="40"/>
    </w:rPr>
  </w:style>
  <w:style w:type="character" w:styleId="695">
    <w:name w:val="Heading 2 Char"/>
    <w:basedOn w:val="865"/>
    <w:link w:val="860"/>
    <w:uiPriority w:val="9"/>
    <w:rPr>
      <w:rFonts w:ascii="Arial" w:hAnsi="Arial" w:eastAsia="Arial" w:cs="Arial"/>
      <w:sz w:val="34"/>
    </w:rPr>
  </w:style>
  <w:style w:type="character" w:styleId="696">
    <w:name w:val="Heading 3 Char"/>
    <w:basedOn w:val="865"/>
    <w:link w:val="861"/>
    <w:uiPriority w:val="9"/>
    <w:rPr>
      <w:rFonts w:ascii="Arial" w:hAnsi="Arial" w:eastAsia="Arial" w:cs="Arial"/>
      <w:sz w:val="30"/>
      <w:szCs w:val="30"/>
    </w:rPr>
  </w:style>
  <w:style w:type="character" w:styleId="697">
    <w:name w:val="Heading 4 Char"/>
    <w:basedOn w:val="865"/>
    <w:link w:val="862"/>
    <w:uiPriority w:val="9"/>
    <w:rPr>
      <w:rFonts w:ascii="Arial" w:hAnsi="Arial" w:eastAsia="Arial" w:cs="Arial"/>
      <w:b/>
      <w:bCs/>
      <w:sz w:val="26"/>
      <w:szCs w:val="26"/>
    </w:rPr>
  </w:style>
  <w:style w:type="character" w:styleId="698">
    <w:name w:val="Heading 5 Char"/>
    <w:basedOn w:val="865"/>
    <w:link w:val="863"/>
    <w:uiPriority w:val="9"/>
    <w:rPr>
      <w:rFonts w:ascii="Arial" w:hAnsi="Arial" w:eastAsia="Arial" w:cs="Arial"/>
      <w:b/>
      <w:bCs/>
      <w:sz w:val="24"/>
      <w:szCs w:val="24"/>
    </w:rPr>
  </w:style>
  <w:style w:type="character" w:styleId="699">
    <w:name w:val="Heading 6 Char"/>
    <w:basedOn w:val="865"/>
    <w:link w:val="864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58"/>
    <w:next w:val="858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basedOn w:val="865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58"/>
    <w:next w:val="858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basedOn w:val="865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58"/>
    <w:next w:val="858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basedOn w:val="865"/>
    <w:link w:val="704"/>
    <w:uiPriority w:val="9"/>
    <w:rPr>
      <w:rFonts w:ascii="Arial" w:hAnsi="Arial" w:eastAsia="Arial" w:cs="Arial"/>
      <w:i/>
      <w:iCs/>
      <w:sz w:val="21"/>
      <w:szCs w:val="21"/>
    </w:rPr>
  </w:style>
  <w:style w:type="character" w:styleId="706">
    <w:name w:val="Title Char"/>
    <w:basedOn w:val="865"/>
    <w:link w:val="869"/>
    <w:uiPriority w:val="10"/>
    <w:rPr>
      <w:sz w:val="48"/>
      <w:szCs w:val="48"/>
    </w:rPr>
  </w:style>
  <w:style w:type="character" w:styleId="707">
    <w:name w:val="Subtitle Char"/>
    <w:basedOn w:val="865"/>
    <w:link w:val="884"/>
    <w:uiPriority w:val="11"/>
    <w:rPr>
      <w:sz w:val="24"/>
      <w:szCs w:val="24"/>
    </w:rPr>
  </w:style>
  <w:style w:type="paragraph" w:styleId="708">
    <w:name w:val="Quote"/>
    <w:basedOn w:val="858"/>
    <w:next w:val="858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58"/>
    <w:next w:val="858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character" w:styleId="712">
    <w:name w:val="Header Char"/>
    <w:basedOn w:val="865"/>
    <w:link w:val="875"/>
    <w:uiPriority w:val="99"/>
  </w:style>
  <w:style w:type="character" w:styleId="713">
    <w:name w:val="Footer Char"/>
    <w:basedOn w:val="865"/>
    <w:link w:val="877"/>
    <w:uiPriority w:val="99"/>
  </w:style>
  <w:style w:type="paragraph" w:styleId="714">
    <w:name w:val="Caption"/>
    <w:basedOn w:val="858"/>
    <w:next w:val="858"/>
    <w:link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865"/>
    <w:link w:val="714"/>
    <w:uiPriority w:val="35"/>
    <w:rPr>
      <w:b/>
      <w:bCs/>
      <w:color w:val="4f81bd" w:themeColor="accent1"/>
      <w:sz w:val="18"/>
      <w:szCs w:val="18"/>
    </w:rPr>
  </w:style>
  <w:style w:type="table" w:styleId="716">
    <w:name w:val="Table Grid Light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9">
    <w:name w:val="Grid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0">
    <w:name w:val="Grid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1">
    <w:name w:val="Grid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2">
    <w:name w:val="Grid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4">
    <w:name w:val="List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5">
    <w:name w:val="List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6">
    <w:name w:val="List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7">
    <w:name w:val="List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8">
    <w:name w:val="List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9">
    <w:name w:val="List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0">
    <w:name w:val="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 &amp; 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Bordered &amp; 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Bordered &amp; 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Bordered &amp; 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Bordered &amp; 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Bordered &amp; 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basedOn w:val="865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basedOn w:val="865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qFormat/>
    <w:rPr>
      <w:lang w:eastAsia="ar-SA"/>
    </w:rPr>
  </w:style>
  <w:style w:type="paragraph" w:styleId="859">
    <w:name w:val="Heading 1"/>
    <w:basedOn w:val="858"/>
    <w:next w:val="858"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860">
    <w:name w:val="Heading 2"/>
    <w:basedOn w:val="858"/>
    <w:next w:val="858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861">
    <w:name w:val="Heading 3"/>
    <w:basedOn w:val="858"/>
    <w:next w:val="858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862">
    <w:name w:val="Heading 4"/>
    <w:basedOn w:val="858"/>
    <w:next w:val="858"/>
    <w:pPr>
      <w:keepLines/>
      <w:keepNext/>
      <w:spacing w:before="240" w:after="40"/>
      <w:outlineLvl w:val="3"/>
    </w:pPr>
    <w:rPr>
      <w:b/>
    </w:rPr>
  </w:style>
  <w:style w:type="paragraph" w:styleId="863">
    <w:name w:val="Heading 5"/>
    <w:basedOn w:val="858"/>
    <w:next w:val="858"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864">
    <w:name w:val="Heading 6"/>
    <w:basedOn w:val="858"/>
    <w:next w:val="858"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865" w:default="1">
    <w:name w:val="Default Paragraph Font"/>
    <w:uiPriority w:val="1"/>
    <w:semiHidden/>
    <w:unhideWhenUsed/>
  </w:style>
  <w:style w:type="table" w:styleId="8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7" w:default="1">
    <w:name w:val="No List"/>
    <w:uiPriority w:val="99"/>
    <w:semiHidden/>
    <w:unhideWhenUsed/>
  </w:style>
  <w:style w:type="table" w:styleId="868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69">
    <w:name w:val="Title"/>
    <w:basedOn w:val="858"/>
    <w:next w:val="858"/>
    <w:pPr>
      <w:keepLines/>
      <w:keepNext/>
      <w:spacing w:before="480" w:after="120"/>
    </w:pPr>
    <w:rPr>
      <w:b/>
      <w:sz w:val="72"/>
      <w:szCs w:val="72"/>
    </w:rPr>
  </w:style>
  <w:style w:type="character" w:styleId="870">
    <w:name w:val="Hyperlink"/>
    <w:rPr>
      <w:color w:val="0000ff"/>
      <w:u w:val="single"/>
    </w:rPr>
  </w:style>
  <w:style w:type="paragraph" w:styleId="871" w:customStyle="1">
    <w:name w:val="Содержимое таблицы"/>
    <w:basedOn w:val="858"/>
    <w:pPr>
      <w:widowControl w:val="off"/>
      <w:suppressLineNumbers/>
    </w:pPr>
    <w:rPr>
      <w:rFonts w:eastAsia="Lucida Sans Unicode"/>
    </w:rPr>
  </w:style>
  <w:style w:type="paragraph" w:styleId="872">
    <w:name w:val="Body Text Indent"/>
    <w:basedOn w:val="858"/>
    <w:link w:val="873"/>
    <w:uiPriority w:val="99"/>
    <w:semiHidden/>
    <w:unhideWhenUsed/>
    <w:pPr>
      <w:ind w:left="283"/>
      <w:spacing w:after="120"/>
    </w:pPr>
  </w:style>
  <w:style w:type="character" w:styleId="873" w:customStyle="1">
    <w:name w:val="Основной текст с отступом Знак"/>
    <w:basedOn w:val="865"/>
    <w:link w:val="872"/>
    <w:uiPriority w:val="99"/>
    <w:semiHidden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874">
    <w:name w:val="No Spacing"/>
    <w:qFormat/>
    <w:rPr>
      <w:lang w:eastAsia="ar-SA"/>
    </w:rPr>
  </w:style>
  <w:style w:type="paragraph" w:styleId="875">
    <w:name w:val="Header"/>
    <w:basedOn w:val="858"/>
    <w:link w:val="87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6" w:customStyle="1">
    <w:name w:val="Верхний колонтитул Знак"/>
    <w:basedOn w:val="865"/>
    <w:link w:val="875"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877">
    <w:name w:val="Footer"/>
    <w:basedOn w:val="858"/>
    <w:link w:val="87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8" w:customStyle="1">
    <w:name w:val="Нижний колонтитул Знак"/>
    <w:basedOn w:val="865"/>
    <w:link w:val="877"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879" w:customStyle="1">
    <w:name w:val="ConsPlusTitle"/>
    <w:pPr>
      <w:widowControl w:val="off"/>
    </w:pPr>
    <w:rPr>
      <w:rFonts w:ascii="Calibri" w:hAnsi="Calibri" w:eastAsia="Calibri" w:cs="Calibri"/>
      <w:b/>
      <w:bCs/>
    </w:rPr>
  </w:style>
  <w:style w:type="paragraph" w:styleId="880">
    <w:name w:val="Balloon Text"/>
    <w:basedOn w:val="858"/>
    <w:link w:val="881"/>
    <w:uiPriority w:val="99"/>
    <w:semiHidden/>
    <w:unhideWhenUsed/>
    <w:rPr>
      <w:rFonts w:ascii="Tahoma" w:hAnsi="Tahoma" w:cs="Tahoma"/>
      <w:sz w:val="16"/>
      <w:szCs w:val="16"/>
    </w:rPr>
  </w:style>
  <w:style w:type="character" w:styleId="881" w:customStyle="1">
    <w:name w:val="Текст выноски Знак"/>
    <w:basedOn w:val="865"/>
    <w:link w:val="880"/>
    <w:uiPriority w:val="99"/>
    <w:semiHidden/>
    <w:rPr>
      <w:rFonts w:ascii="Tahoma" w:hAnsi="Tahoma" w:eastAsia="Times New Roman" w:cs="Tahoma"/>
      <w:sz w:val="16"/>
      <w:szCs w:val="16"/>
      <w:lang w:eastAsia="ar-SA"/>
    </w:rPr>
  </w:style>
  <w:style w:type="paragraph" w:styleId="882">
    <w:name w:val="List Paragraph"/>
    <w:basedOn w:val="858"/>
    <w:uiPriority w:val="34"/>
    <w:qFormat/>
    <w:pPr>
      <w:contextualSpacing/>
      <w:ind w:left="720"/>
    </w:pPr>
    <w:rPr>
      <w:sz w:val="20"/>
      <w:szCs w:val="20"/>
      <w:lang w:eastAsia="ru-RU"/>
    </w:rPr>
  </w:style>
  <w:style w:type="paragraph" w:styleId="883" w:customStyle="1">
    <w:name w:val="ConsPlusNormal"/>
  </w:style>
  <w:style w:type="paragraph" w:styleId="884">
    <w:name w:val="Subtitle"/>
    <w:basedOn w:val="858"/>
    <w:next w:val="858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885" w:customStyle="1">
    <w:name w:val="StGen0"/>
    <w:basedOn w:val="868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886">
    <w:name w:val="Table Grid"/>
    <w:basedOn w:val="866"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7">
    <w:name w:val="Normal (Web)"/>
    <w:basedOn w:val="858"/>
    <w:uiPriority w:val="99"/>
    <w:unhideWhenUsed/>
    <w:pPr>
      <w:spacing w:before="100" w:beforeAutospacing="1" w:after="100" w:afterAutospacing="1"/>
    </w:pPr>
    <w:rPr>
      <w:sz w:val="22"/>
      <w:szCs w:val="22"/>
      <w:lang w:eastAsia="ru-RU"/>
    </w:rPr>
  </w:style>
  <w:style w:type="character" w:styleId="888" w:customStyle="1">
    <w:name w:val="fill"/>
    <w:rPr>
      <w:color w:val="ff000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htOG8UzOXKYJv3O4L67JV+cqDQ==">AMUW2mUmXuHBrAmPufNkm8/kmxQxKevtcC2AxEC5z3sLxWmqOMesycDUtLnPchB2A/lrGyYboaEivtjAArg0wEPINzoIpeeCbELtRjVpjk7Ka6zS9P6/Llv9xnQwTLQMg/5hdyL34OBF</go:docsCustomData>
</go:gDocsCustomXmlDataStorage>
</file>

<file path=customXml/itemProps1.xml><?xml version="1.0" encoding="utf-8"?>
<ds:datastoreItem xmlns:ds="http://schemas.openxmlformats.org/officeDocument/2006/customXml" ds:itemID="{7FDBD985-90CF-4E17-9DFD-FF1B09E8AC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diakov.net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Сергеевна СОБОЛЕВА</dc:creator>
  <cp:lastModifiedBy>am_bublei</cp:lastModifiedBy>
  <cp:revision>8</cp:revision>
  <dcterms:created xsi:type="dcterms:W3CDTF">2026-03-19T09:45:00Z</dcterms:created>
  <dcterms:modified xsi:type="dcterms:W3CDTF">2026-03-24T10:12:18Z</dcterms:modified>
</cp:coreProperties>
</file>