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1008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tabs>
          <w:tab w:val="left" w:pos="10080" w:leader="none"/>
        </w:tabs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jc w:val="right"/>
        <w:tabs>
          <w:tab w:val="left" w:pos="10080" w:leader="none"/>
        </w:tabs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jc w:val="center"/>
        <w:spacing w:after="240"/>
        <w:tabs>
          <w:tab w:val="left" w:pos="10080" w:leader="none"/>
        </w:tabs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ПРАВИТЕЛЬСТВО ЛЕНИНГРАДСКОЙ ОБЛАСТИ</w:t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jc w:val="center"/>
        <w:tabs>
          <w:tab w:val="left" w:pos="10080" w:leader="none"/>
        </w:tabs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ПОСТАНОВЛЕНИЕ</w:t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jc w:val="center"/>
        <w:tabs>
          <w:tab w:val="left" w:pos="10080" w:leader="none"/>
        </w:tabs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от                               202_ г. № </w:t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tabs>
          <w:tab w:val="left" w:pos="10080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tabs>
          <w:tab w:val="left" w:pos="10080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jc w:val="center"/>
        <w:tabs>
          <w:tab w:val="left" w:pos="1008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ПОРЯДКА ВЗАИМОДЕЙСТВИЯ КОМИТЕТА </w:t>
      </w:r>
      <w:r>
        <w:rPr>
          <w:b/>
          <w:bCs/>
          <w:sz w:val="28"/>
          <w:szCs w:val="28"/>
        </w:rPr>
        <w:t xml:space="preserve">ПО ЗДРАВООХРАНЕНИЮ ЛЕНИНГРАДСКОЙ ОБЛАСТИ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10080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И ПОДВЕДОМСТВЕННЫХ ЕМУ ГОСУДАРСТВЕННЫХ УЧРЕЖДЕНИЙ ЗДРАВООХРАНЕНИЯ </w:t>
      </w:r>
      <w:r>
        <w:rPr>
          <w:b/>
          <w:bCs/>
          <w:sz w:val="28"/>
          <w:szCs w:val="28"/>
        </w:rPr>
        <w:t xml:space="preserve">ЛЕНИНГРАДСКОЙ ОБЛАСТИ </w:t>
        <w:br/>
        <w:t xml:space="preserve">С ОРГАНИЗАТОРАМИ ДОБРОВОЛЬЧЕСКОЙ (</w:t>
      </w:r>
      <w:r>
        <w:rPr>
          <w:b/>
          <w:bCs/>
          <w:sz w:val="28"/>
          <w:szCs w:val="28"/>
        </w:rPr>
        <w:t xml:space="preserve">ВОЛОНТЕРСКОЙ) ДЕЯТЕЛЬНОСТИ, ДОБРОВОЛЬЧЕСКИМИ </w:t>
      </w:r>
      <w:r>
        <w:rPr>
          <w:b/>
          <w:bCs/>
          <w:sz w:val="28"/>
          <w:szCs w:val="28"/>
        </w:rPr>
        <w:t xml:space="preserve">(ВОЛОНТЕРСКИМИ) ОРГАНИЗАЦИЯМИ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ПРИ СОДЕЙСТВИИ В ОКАЗАНИИ МЕДИЦИНСКОЙ ПОМОЩИ В ОРГАНИЗАЦИЯХ, ОКАЗЫВАЮЩИХ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tabs>
          <w:tab w:val="left" w:pos="10080" w:leader="none"/>
        </w:tabs>
        <w:rPr>
          <w:b/>
          <w:bCs/>
        </w:rPr>
      </w:pPr>
      <w:r>
        <w:rPr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МЕДИЦИНСКУЮ ПОМОЩЬ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tabs>
          <w:tab w:val="left" w:pos="10080" w:leader="none"/>
        </w:tabs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</w:r>
      <w:r>
        <w:rPr>
          <w:b/>
          <w:bCs/>
          <w:sz w:val="28"/>
          <w:szCs w:val="28"/>
          <w:shd w:val="clear" w:color="auto" w:fill="ffffff"/>
        </w:rPr>
      </w:r>
      <w:r>
        <w:rPr>
          <w:b/>
          <w:bCs/>
          <w:sz w:val="28"/>
          <w:szCs w:val="28"/>
          <w:shd w:val="clear" w:color="auto" w:fill="ffffff"/>
        </w:rPr>
      </w:r>
    </w:p>
    <w:p>
      <w:pPr>
        <w:ind w:firstLine="720"/>
        <w:jc w:val="both"/>
        <w:tabs>
          <w:tab w:val="left" w:pos="10080" w:leader="none"/>
        </w:tabs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В соответствии с постановлением Правительства Российской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Федерации </w:t>
        <w:br/>
        <w:t xml:space="preserve">от 28 ноября 2018 года № 1425 «Об утверждении общих требований к порядку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взаимодействия федеральных органов и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</w:t>
        <w:br/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и добровольческими (волонтерскими) организациями и перечня видов деятельности, в отношении которых федеральными органами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исполнительной власти, исполнительными органами субъектов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Р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оссийской Федерации,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 органами местного самоуправления утверждается порядок взаимодействия государственных и муниципальных учреждений организаторами добровольческой (волонтерской) деятельности добровольческими (волонтерскими) организациями» и подпунктом 3 пункта 3 статьи 17.3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Федеральный закон от 11.08.1995 № 135-ФЗ </w:t>
        <w:br/>
        <w:t xml:space="preserve">«О благотворительной деятельности и добровольчестве (волонтерстве)»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Правительство Ле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нинградской области постановляет: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/>
    </w:p>
    <w:p>
      <w:pPr>
        <w:ind w:firstLine="720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1. Утвердить прилагаемый Порядок взаимодействия Комитета </w:t>
        <w:br/>
        <w:t xml:space="preserve">по з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дравоохранению Ленинградской области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 и подведомственных ему государственных учреждений здравоохранения Ленинградской области </w:t>
        <w:br/>
        <w:t xml:space="preserve">с организаторами добровольческой (волонтерской) деятельности,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д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обровольческими (волонтерскими) организациями при содействии в оказании медицинской помощи в организациях, оказывающих медицинскую помощь.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2. Контроль за исполнением постановления возложить на вице-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губернатора Ленинградской области по социальным вопросам.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10080" w:leader="none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tabs>
          <w:tab w:val="left" w:pos="10080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Губернатор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tabs>
          <w:tab w:val="left" w:pos="10080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Ленинградской области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А.Дрозденко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jc w:val="right"/>
        <w:tabs>
          <w:tab w:val="left" w:pos="1008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942"/>
        <w:tblpPr w:horzAnchor="page" w:tblpX="7370" w:vertAnchor="page" w:tblpY="893" w:leftFromText="181" w:topFromText="0" w:rightFromText="181" w:bottomFromText="0"/>
        <w:tblW w:w="403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031"/>
      </w:tblGrid>
      <w:tr>
        <w:tblPrEx/>
        <w:trPr>
          <w:trHeight w:val="106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31" w:type="dxa"/>
            <w:textDirection w:val="lrTb"/>
            <w:noWrap w:val="false"/>
          </w:tcPr>
          <w:p>
            <w:pPr>
              <w:pStyle w:val="933"/>
              <w:jc w:val="right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jc w:val="right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jc w:val="right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jc w:val="center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jc w:val="center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jc w:val="center"/>
        <w:tabs>
          <w:tab w:val="left" w:pos="10080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ПОРЯДОК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0"/>
        <w:jc w:val="center"/>
        <w:tabs>
          <w:tab w:val="left" w:pos="10080" w:leader="none"/>
        </w:tabs>
        <w:rPr>
          <w:b/>
          <w:bCs/>
        </w:rP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взаимодействия Комитета по здравоохранению Ленинградской области 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tabs>
          <w:tab w:val="left" w:pos="10080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и подведомственных ему государственных учреждений здравоохранения Ленинградской области с организаторами добровольческой (волонтерской) деятельности, добровольческими (волонтерскими) организациями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0"/>
        <w:jc w:val="center"/>
        <w:tabs>
          <w:tab w:val="left" w:pos="10080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при содействии в оказании медицинской помощи в организациях,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0"/>
        <w:jc w:val="center"/>
        <w:tabs>
          <w:tab w:val="left" w:pos="10080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оказывающих медицинскую помощь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1008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1. Настоящий Порядок определяет механизм взаимодействия </w:t>
      </w:r>
      <w:r>
        <w:rPr>
          <w:color w:val="000000" w:themeColor="text1"/>
          <w:sz w:val="28"/>
          <w:szCs w:val="28"/>
          <w:highlight w:val="none"/>
        </w:rPr>
        <w:t xml:space="preserve">Комитета по здравоохранению Ленинградской области,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подведомственных ему государственных учреждений здравоохранения Ленинградской области (далее - Порядок, Комитет, подведомственное учреждение) с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организаторами добровольческой (волонтерской) деятельности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и добровольческими (волонтерскими) организациями (далее - организатор добровольческой деятельности, добровольческая организация)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при содействии в оказании медицинской помощи в организациях, оказывающих медицинскую помощь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2.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Взаимодействие Комитета, подведомственных учреждений </w:t>
        <w:br/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с организаторами добровольческой деятельности, добровольческими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рганизациями осуществляется в соответствии с общими требованиями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организациями, утвержденными постановлением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Правительства Российской Федерации </w:t>
        <w:br/>
        <w:t xml:space="preserve">от 28 ноября 2018 года № 1425 (далее - общие требования).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3.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С целью осуществления взаимодействия организатор добровольческой деятельности, добровольческая организация направляют в Комитет или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подведомственное учреждение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 почтовым отправлением с описью вложения или </w:t>
        <w:br/>
        <w:t xml:space="preserve">в электронной форме через информационно-телекоммуник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ационную сеть «Интернет» (далее - сеть «Интернет») предложение о намерении взаимодействовать в части организации добровольческой деятельности и в части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оказания медицинской помощи в организациях, оказывающих медицинскую помощь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(далее - предложение),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которое содержит следующую информацию: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а) фамилия, имя, отчество (последнее - при наличии),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если организатором добровольческой деятельности является физическое лицо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б)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фамилия, имя, отчество (при наличии) и контакты руководителя добровольческой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в) государственный регистрационный номер, содержащийся в Едином государственном реестре юридических лиц;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г) сведения об адресе официального сайта или официальной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страницы в сети «Интернет» (при наличии);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д) идентификационный номер, содержащийся в единой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информационной системе в сфере развития добровольчества (волонтерства) (при наличии);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е) перечень предлагаемых к осуществлению видов работ (услуг), осуществляемых добровольцами (волонтерами) в целях, предусмотренных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пунктом 1 статьи 2 Федерального закона от 11.08.1995 № 135-ФЗ </w:t>
        <w:br/>
        <w:t xml:space="preserve">«О благотворительной деятельности и добровольчестве (волонтерстве)» </w:t>
        <w:br/>
        <w:t xml:space="preserve">(далее - Федеральный закон № 135-ФЗ)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, с описанием условий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их выполнения (оказания), в том числе с указанием возможных сроков и объемов выполнения работ (оказания услуг), уровня подготовки, компетенции, уровня образования </w:t>
        <w:br/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и профессиональных навыков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добровольцев, наличия опыта соответствующей деятельности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организатора добровольческой деятельности, добровольческой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организации и иных требований,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установленных законодательством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Российской Федерации.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4. Комитет, подведомственные учреждения по результатам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рассмотрения предложения в срок, не превышающий 10 рабочих дней со дня его поступления, принимают одно из следующих решений: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 принятии предложения;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об отказе в принятии предложения с указанием причин, послуживших основанием для принятия такого решения.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Срок рассмотрения предложения может быть увеличен на 10 рабочих дней </w:t>
        <w:br/>
        <w:t xml:space="preserve">в случае, если необходимо запросить дополнительную информацию у организатора добровольческой деятельности, добровольческой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организации. 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5. О</w:t>
      </w:r>
      <w:r>
        <w:rPr>
          <w:color w:val="000000" w:themeColor="text1"/>
          <w:sz w:val="28"/>
          <w:szCs w:val="28"/>
          <w:highlight w:val="none"/>
        </w:rPr>
        <w:t xml:space="preserve">снованиями для отказа в принятии предложения являются: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а) несоответствие предлагаемых видов работ (услуг), осуществляемых добровольцами (волонтерами), целям, указанным в подпункте «е» пункта </w:t>
        <w:br/>
        <w:t xml:space="preserve">3 настоящего Порядка;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б</w:t>
      </w:r>
      <w:r>
        <w:rPr>
          <w:color w:val="000000" w:themeColor="text1"/>
          <w:sz w:val="28"/>
          <w:szCs w:val="28"/>
          <w:highlight w:val="none"/>
        </w:rPr>
        <w:t xml:space="preserve">) наличие решения о приостановлении деятельности некоммерческой организации в соответствии со статьей 10 Федерального закона от 25 июля 2002 года № 114-ФЗ «О противодействии экстремистской деятельности» или статьей 42 Федерального закона от 19 мая 1995 год</w:t>
      </w:r>
      <w:r>
        <w:rPr>
          <w:color w:val="000000" w:themeColor="text1"/>
          <w:sz w:val="28"/>
          <w:szCs w:val="28"/>
          <w:highlight w:val="none"/>
        </w:rPr>
        <w:t xml:space="preserve">а № 82-ФЗ «Об общественных объединениях»;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в) несоответствие (полное или частичное) представленной информации требованиям, определенным пунктом 3 настоящего Порядка.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6. Комитет, подведомственные учреждения информируют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организатора добровольческой деятельности, добровольческую о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рганизацию о принятом решении почтовым отправлением с описью вложения или в форме электронного документа через сеть «Интернет»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в соответствии со способом направления предложения в срок, не превышающий 7 рабочих дней со дня истечения срока рассмотрения предложения.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7. В случае принятия предложения Комитет, подведомственное учреждение информируют организатора добровольческой деятельности, добровольческую организацию об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условиях осуществления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добровольческой деятельности: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б) о правовых нормах, регламентирующих работу Ко</w:t>
      </w:r>
      <w:r>
        <w:rPr>
          <w:color w:val="000000" w:themeColor="text1"/>
          <w:sz w:val="28"/>
          <w:szCs w:val="28"/>
          <w:highlight w:val="none"/>
        </w:rPr>
        <w:t xml:space="preserve">митета, подведомственного учреждения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в) о необходимых режимных требованиях, правилах техники безопасности </w:t>
        <w:br/>
        <w:t xml:space="preserve">и других правилах, соблюдение которых требуется при осуществлении добровольческой деятельности;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г) о порядке и сроках рассмотрения (урегулирования) разногласий, возникающих в ходе взаимодействия сторон;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д) о сроке осуществления добровольческой деятельности и основаниях для досрочного прекращения ее осуществления;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е) об иных условиях осуществления добровольческой деятельности.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8.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Организатор добровольческой деятельности, добровольческая организация, в случае отказа подведомственного учреждения принять предложение, вправе направить в Комитет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 аналогичное предложение, которое рассматривается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в соответствии с настоящим Порядком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9.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Взаимодействие Комитета, подведомственного учреждения </w:t>
        <w:br/>
        <w:t xml:space="preserve">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10.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Соглашение заключается в случае принятия Комитетом, подведомственным учреждением решения о принятии предложения по типовой форме, утвержденной правовым актом Комитета, предусматривающее: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№ 135-ФЗ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б) условия осуществления добровольческой деятельности;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в)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сведения об уполномоченных представителях, ответственных </w:t>
        <w:br/>
        <w:t xml:space="preserve">за взаимодействие со стороны организатора добровольческой деятельности, добровольческой организации и со стороны Комитета, подведомственного учреждения, для оперативного решения вопросов, возникающи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х при взаимодействии;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г) порядок, в соответствии с которым Комитет, подведомственное учреждение информируют организатора добровольческой деятельности, добровольческую организацию о потребности в привлечении добровольцев (волонтеров);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д) возможность предоставления Комитетом, подведомственным учреждением мер поддержки, предусмотренных Федеральным законом № 135-ФЗ, помещений и необходимого оборудования;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/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е) возможность учета деятельности добровольцев (волонтеров) в единой информационной системе в сфере развития добровольчества (волонтерства);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ж) условия прохождения добровольцами (волонтерами) необходимых медицинских обследований и предоставления справок в соответствии с пунктом 12 настоящего Порядка;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) 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</w:t>
      </w:r>
      <w:r>
        <w:rPr>
          <w:sz w:val="28"/>
          <w:szCs w:val="28"/>
          <w:highlight w:val="none"/>
        </w:rPr>
        <w:t xml:space="preserve"> а также учитывать указанную информацию в работе;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и) </w:t>
      </w:r>
      <w:r>
        <w:rPr>
          <w:sz w:val="28"/>
          <w:szCs w:val="28"/>
          <w:highlight w:val="none"/>
        </w:rPr>
        <w:t xml:space="preserve">иные положения, не противоречащие законодательству Российской Федерации.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Срок заключения организатором добровольчес</w:t>
      </w:r>
      <w:r>
        <w:rPr>
          <w:sz w:val="28"/>
          <w:szCs w:val="28"/>
          <w:highlight w:val="none"/>
        </w:rPr>
        <w:t xml:space="preserve">кой деятельности, добровольческой организацией соглашения с Комитетом, подведомственным учреждением не может превышать 14 рабочих дней со дня получения организатором добровольческой деятельности, добровольческой организацией решения о принятии предложения.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Соглашение подписывается руководителем Комитета, подведомственного учреждения и организатором добровольческой деятельности, руководителем добровольческой организации либо лицами, их представляющими.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11. Разногласия и споры, возникающие в процессе согласования проекта соглашения, решаются путем консультаций и переговоров.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12. К состоянию здоровья добровольца (волонтера) при осуществлении </w:t>
        <w:br/>
        <w:t xml:space="preserve">им добровольческой (волонтерской) деятельности устанавливаются следующие требования: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 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(во</w:t>
      </w:r>
      <w:r>
        <w:rPr>
          <w:sz w:val="28"/>
          <w:szCs w:val="28"/>
        </w:rPr>
        <w:t xml:space="preserve">лонтером). Указанное требование применяется к состоянию здоровья добровольца (волонтера):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 осуществлении добровольческой (волонтерской) деятельности </w:t>
        <w:br/>
        <w:t xml:space="preserve">на временной основе (в целях осуществления концертных, творческих и иных разовых мероприятий);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 оказании социальных услуг, связанных с предоставлением гигиенических услуг лицам, не способным по состоянию здоровья самостоятельно осуществлять за собой уход, а также при предоставлении помощи в приеме пищи (кормление) и иных услуг;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 оказании помощи в предоставлении социально-психологических, социально-педагогических, социально-трудовых услуг, услуг в целях повышения коммуникативного потенциала получателей социальных услуг, имеющих ограничения жизнедеятельности, в том числе инвалидо</w:t>
      </w:r>
      <w:r>
        <w:rPr>
          <w:sz w:val="28"/>
          <w:szCs w:val="28"/>
        </w:rPr>
        <w:t xml:space="preserve">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 оказании помощи в предоставлении социальных услуг в организациях для детей-сирот и детей, оставшихся без попечения родителей;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при осуществлении помощи медицинскому персоналу в уходе за пациентами в медицинских организациях.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13. Учреждение, в котором осуществляется добровольческая (волонтерская) деятельность, информирует пациентов посредством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размещения соответствующей информации в общедоступных местах о факте осуществления добровольческой (волонтерской) деятельности, правах и обязанностях добровольцев (волонтеров) при осуществлении ими добровольческой (волонтерской) деятельности </w:t>
        <w:br/>
        <w:t xml:space="preserve">в учреждении.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14. Добровольческая (волонтерская) деятельность осуществляется с учетом положений статьи 13 Федерального закона от 21.11.2011 № 323-ФЗ «Об основах здоровья граждан в Российской Федерации».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15. 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редъявление иных требований, не установленных общими требованиями или настоящим Порядком, к медицинскому обследованию </w:t>
        <w:br/>
        <w:t xml:space="preserve">и состоянию здоровья добровольцев (волонтеров), не осуществляющих содействие в оказании медицинских услуг и медицинском специальном уходе</w:t>
      </w:r>
      <w:r>
        <w:rPr>
          <w:sz w:val="28"/>
          <w:szCs w:val="28"/>
          <w:highlight w:val="none"/>
        </w:rPr>
        <w:t xml:space="preserve">, не допускается, за исключением случаев карантина или случаев, установленных государственными санитарно-эпидемиологическими правилами и гигиеническими нормативами (далее - санитарные правила) в соответствии с Федеральным законом от 3</w:t>
      </w:r>
      <w:r>
        <w:rPr>
          <w:sz w:val="28"/>
          <w:szCs w:val="28"/>
          <w:highlight w:val="none"/>
        </w:rPr>
        <w:t xml:space="preserve">0 марта 1999 г. № 52-ФЗ «О санитарно-эпидемиологическом благополучии населения».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16. </w:t>
      </w:r>
      <w:r>
        <w:rPr>
          <w:sz w:val="28"/>
          <w:szCs w:val="28"/>
          <w:highlight w:val="none"/>
        </w:rPr>
        <w:t xml:space="preserve">Информация о карантине или дополнительных требованиях, установленных санитарными правилами, должна быть доведена учреждением </w:t>
        <w:br/>
        <w:t xml:space="preserve">до сведения организаторов и организации.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3"/>
        <w:jc w:val="both"/>
        <w:tabs>
          <w:tab w:val="left" w:pos="1008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0080" w:leader="none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ind w:firstLine="720"/>
        <w:jc w:val="both"/>
        <w:tabs>
          <w:tab w:val="left" w:pos="10080" w:leader="none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ind w:firstLine="720"/>
        <w:jc w:val="both"/>
        <w:tabs>
          <w:tab w:val="left" w:pos="10080" w:leader="none"/>
        </w:tabs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</w: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</w: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</w:r>
    </w:p>
    <w:p>
      <w:pPr>
        <w:ind w:firstLine="720"/>
        <w:jc w:val="both"/>
        <w:tabs>
          <w:tab w:val="left" w:pos="10080" w:leader="none"/>
        </w:tabs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</w: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</w: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709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imes New Roman CYR">
    <w:panose1 w:val="02020603050405020304"/>
  </w:font>
  <w:font w:name="Tahoma">
    <w:panose1 w:val="020B0604030504040204"/>
  </w:font>
  <w:font w:name="DejaVu Sans Mono">
    <w:panose1 w:val="020B0609030804020204"/>
  </w:font>
  <w:font w:name="OpenSymbol">
    <w:panose1 w:val="05010000000000000000"/>
  </w:font>
  <w:font w:name="Courier New">
    <w:panose1 w:val="02070309020205020404"/>
  </w:font>
  <w:font w:name="Verdana">
    <w:panose1 w:val="020B0604030504040204"/>
  </w:font>
  <w:font w:name="Wingdings 2">
    <w:panose1 w:val="05040102010807070707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  <w:tabs>
          <w:tab w:val="num" w:pos="720" w:leader="none"/>
        </w:tabs>
      </w:pPr>
      <w:rPr>
        <w:rFonts w:ascii="Tahoma" w:hAnsi="Tahoma" w:cs="Open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"/>
      <w:lvlJc w:val="left"/>
      <w:pPr>
        <w:ind w:left="1800" w:hanging="360"/>
        <w:tabs>
          <w:tab w:val="num" w:pos="1800" w:leader="none"/>
        </w:tabs>
      </w:pPr>
      <w:rPr>
        <w:rFonts w:ascii="Wingdings 2" w:hAnsi="Wingdings 2" w:cs="Open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"/>
      <w:lvlJc w:val="left"/>
      <w:pPr>
        <w:ind w:left="2880" w:hanging="360"/>
        <w:tabs>
          <w:tab w:val="num" w:pos="2880" w:leader="none"/>
        </w:tabs>
      </w:pPr>
      <w:rPr>
        <w:rFonts w:ascii="Wingdings 2" w:hAnsi="Wingdings 2" w:cs="Open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ascii="OpenSymbol" w:hAnsi="OpenSymbol" w:cs="Open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 CYR" w:hAnsi="Times New Roman CYR" w:cs="Times New Roman CYR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5" w:hanging="855"/>
      </w:pPr>
      <w:rPr>
        <w:rFonts w:ascii="Times New Roman" w:hAnsi="Times New Roman" w:cs="Times New Roman" w:eastAsiaTheme="minorEastAsia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0"/>
        <w:tabs>
          <w:tab w:val="num" w:pos="360" w:leader="none"/>
        </w:tabs>
      </w:pPr>
      <w:rPr>
        <w:rFonts w:ascii="Times New Roman" w:hAnsi="Times New Roman" w:eastAsia="Times New Roman" w:cs="Times New Roman"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  <w:tabs>
          <w:tab w:val="num" w:pos="927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  <w:tabs>
          <w:tab w:val="num" w:pos="242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  <w:tabs>
          <w:tab w:val="num" w:pos="39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484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540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6336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7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  <w:tabs>
          <w:tab w:val="num" w:pos="502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2" w:hanging="720"/>
        <w:tabs>
          <w:tab w:val="num" w:pos="86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  <w:tabs>
          <w:tab w:val="num" w:pos="242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  <w:tabs>
          <w:tab w:val="num" w:pos="39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484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540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6336" w:leader="none"/>
        </w:tabs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Calibri" w:hAnsi="Calibri" w:cs="Calibri"/>
        <w:b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720" w:leader="none"/>
        </w:tabs>
      </w:pPr>
      <w:rPr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216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5" w:hanging="540"/>
        <w:tabs>
          <w:tab w:val="num" w:pos="855" w:leader="none"/>
        </w:tabs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0" w:hanging="720"/>
        <w:tabs>
          <w:tab w:val="num" w:pos="1350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65" w:hanging="720"/>
        <w:tabs>
          <w:tab w:val="num" w:pos="166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340" w:hanging="1080"/>
        <w:tabs>
          <w:tab w:val="num" w:pos="23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655" w:hanging="1080"/>
        <w:tabs>
          <w:tab w:val="num" w:pos="265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330" w:hanging="1440"/>
        <w:tabs>
          <w:tab w:val="num" w:pos="33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45" w:hanging="1440"/>
        <w:tabs>
          <w:tab w:val="num" w:pos="364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800"/>
        <w:tabs>
          <w:tab w:val="num" w:pos="4320" w:leader="none"/>
        </w:tabs>
      </w:pPr>
      <w:rPr>
        <w:rFonts w:hint="default"/>
      </w:r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2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2" w:hanging="180"/>
      </w:p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8"/>
  </w:num>
  <w:num w:numId="5">
    <w:abstractNumId w:val="27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3"/>
  </w:num>
  <w:num w:numId="9">
    <w:abstractNumId w:val="10"/>
  </w:num>
  <w:num w:numId="10">
    <w:abstractNumId w:val="11"/>
  </w:num>
  <w:num w:numId="11">
    <w:abstractNumId w:val="30"/>
  </w:num>
  <w:num w:numId="12">
    <w:abstractNumId w:val="20"/>
  </w:num>
  <w:num w:numId="13">
    <w:abstractNumId w:val="25"/>
  </w:num>
  <w:num w:numId="14">
    <w:abstractNumId w:val="29"/>
  </w:num>
  <w:num w:numId="15">
    <w:abstractNumId w:val="28"/>
  </w:num>
  <w:num w:numId="16">
    <w:abstractNumId w:val="15"/>
  </w:num>
  <w:num w:numId="17">
    <w:abstractNumId w:val="3"/>
  </w:num>
  <w:num w:numId="18">
    <w:abstractNumId w:val="2"/>
  </w:num>
  <w:num w:numId="19">
    <w:abstractNumId w:val="9"/>
  </w:num>
  <w:num w:numId="20">
    <w:abstractNumId w:val="26"/>
  </w:num>
  <w:num w:numId="21">
    <w:abstractNumId w:val="21"/>
  </w:num>
  <w:num w:numId="22">
    <w:abstractNumId w:val="24"/>
  </w:num>
  <w:num w:numId="23">
    <w:abstractNumId w:val="7"/>
  </w:num>
  <w:num w:numId="24">
    <w:abstractNumId w:val="19"/>
  </w:num>
  <w:num w:numId="25">
    <w:abstractNumId w:val="5"/>
  </w:num>
  <w:num w:numId="26">
    <w:abstractNumId w:val="4"/>
  </w:num>
  <w:num w:numId="27">
    <w:abstractNumId w:val="18"/>
  </w:num>
  <w:num w:numId="28">
    <w:abstractNumId w:val="6"/>
  </w:num>
  <w:num w:numId="29">
    <w:abstractNumId w:val="14"/>
  </w:num>
  <w:num w:numId="30">
    <w:abstractNumId w:val="12"/>
  </w:num>
  <w:num w:numId="31">
    <w:abstractNumId w:val="13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0">
    <w:name w:val="Plain Table 1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8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3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740">
    <w:name w:val="Heading 1"/>
    <w:basedOn w:val="739"/>
    <w:next w:val="739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5">
    <w:name w:val="Heading 6"/>
    <w:basedOn w:val="739"/>
    <w:next w:val="739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Heading 1 Char"/>
    <w:basedOn w:val="749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basedOn w:val="749"/>
    <w:uiPriority w:val="9"/>
    <w:rPr>
      <w:rFonts w:ascii="Arial" w:hAnsi="Arial" w:eastAsia="Arial" w:cs="Arial"/>
      <w:sz w:val="34"/>
    </w:rPr>
  </w:style>
  <w:style w:type="character" w:styleId="754" w:customStyle="1">
    <w:name w:val="Heading 3 Char"/>
    <w:basedOn w:val="749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Heading 7 Char"/>
    <w:basedOn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Heading 8 Char"/>
    <w:basedOn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9 Char"/>
    <w:basedOn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basedOn w:val="749"/>
    <w:uiPriority w:val="10"/>
    <w:rPr>
      <w:sz w:val="48"/>
      <w:szCs w:val="48"/>
    </w:rPr>
  </w:style>
  <w:style w:type="character" w:styleId="762" w:customStyle="1">
    <w:name w:val="Subtitle Char"/>
    <w:basedOn w:val="749"/>
    <w:uiPriority w:val="11"/>
    <w:rPr>
      <w:sz w:val="24"/>
      <w:szCs w:val="24"/>
    </w:rPr>
  </w:style>
  <w:style w:type="character" w:styleId="763" w:customStyle="1">
    <w:name w:val="Quote Char"/>
    <w:uiPriority w:val="29"/>
    <w:rPr>
      <w:i/>
    </w:rPr>
  </w:style>
  <w:style w:type="character" w:styleId="764" w:customStyle="1">
    <w:name w:val="Intense Quote Char"/>
    <w:uiPriority w:val="30"/>
    <w:rPr>
      <w:i/>
    </w:rPr>
  </w:style>
  <w:style w:type="character" w:styleId="765" w:customStyle="1">
    <w:name w:val="Caption Char"/>
    <w:basedOn w:val="749"/>
    <w:uiPriority w:val="35"/>
    <w:rPr>
      <w:b/>
      <w:bCs/>
      <w:color w:val="5b9bd5" w:themeColor="accent1"/>
      <w:sz w:val="18"/>
      <w:szCs w:val="18"/>
    </w:rPr>
  </w:style>
  <w:style w:type="character" w:styleId="766" w:customStyle="1">
    <w:name w:val="Footnote Text Char"/>
    <w:uiPriority w:val="99"/>
    <w:rPr>
      <w:sz w:val="18"/>
    </w:rPr>
  </w:style>
  <w:style w:type="character" w:styleId="767" w:customStyle="1">
    <w:name w:val="Endnote Text Char"/>
    <w:uiPriority w:val="99"/>
    <w:rPr>
      <w:sz w:val="20"/>
    </w:rPr>
  </w:style>
  <w:style w:type="character" w:styleId="768" w:customStyle="1">
    <w:name w:val="Заголовок 1 Знак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Заголовок 2 Знак"/>
    <w:basedOn w:val="749"/>
    <w:link w:val="741"/>
    <w:uiPriority w:val="9"/>
    <w:rPr>
      <w:rFonts w:ascii="Arial" w:hAnsi="Arial" w:eastAsia="Arial" w:cs="Arial"/>
      <w:sz w:val="34"/>
    </w:rPr>
  </w:style>
  <w:style w:type="character" w:styleId="770" w:customStyle="1">
    <w:name w:val="Заголовок 3 Знак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Заголовок 5 Знак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Title"/>
    <w:basedOn w:val="739"/>
    <w:next w:val="739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8" w:customStyle="1">
    <w:name w:val="Название Знак"/>
    <w:basedOn w:val="749"/>
    <w:link w:val="777"/>
    <w:uiPriority w:val="10"/>
    <w:rPr>
      <w:sz w:val="48"/>
      <w:szCs w:val="48"/>
    </w:rPr>
  </w:style>
  <w:style w:type="paragraph" w:styleId="779">
    <w:name w:val="Subtitle"/>
    <w:basedOn w:val="739"/>
    <w:next w:val="739"/>
    <w:link w:val="780"/>
    <w:uiPriority w:val="11"/>
    <w:qFormat/>
    <w:pPr>
      <w:spacing w:before="200" w:after="200"/>
    </w:pPr>
  </w:style>
  <w:style w:type="character" w:styleId="780" w:customStyle="1">
    <w:name w:val="Подзаголовок Знак"/>
    <w:basedOn w:val="749"/>
    <w:link w:val="779"/>
    <w:uiPriority w:val="11"/>
    <w:rPr>
      <w:sz w:val="24"/>
      <w:szCs w:val="24"/>
    </w:rPr>
  </w:style>
  <w:style w:type="paragraph" w:styleId="781">
    <w:name w:val="Quote"/>
    <w:basedOn w:val="739"/>
    <w:next w:val="739"/>
    <w:link w:val="782"/>
    <w:uiPriority w:val="29"/>
    <w:qFormat/>
    <w:pPr>
      <w:ind w:left="720" w:right="720"/>
    </w:pPr>
    <w:rPr>
      <w:i/>
    </w:rPr>
  </w:style>
  <w:style w:type="character" w:styleId="782" w:customStyle="1">
    <w:name w:val="Цитата 2 Знак"/>
    <w:link w:val="781"/>
    <w:uiPriority w:val="29"/>
    <w:rPr>
      <w:i/>
    </w:rPr>
  </w:style>
  <w:style w:type="paragraph" w:styleId="783">
    <w:name w:val="Intense Quote"/>
    <w:basedOn w:val="739"/>
    <w:next w:val="739"/>
    <w:link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 w:customStyle="1">
    <w:name w:val="Выделенная цитата Знак"/>
    <w:link w:val="783"/>
    <w:uiPriority w:val="30"/>
    <w:rPr>
      <w:i/>
    </w:rPr>
  </w:style>
  <w:style w:type="character" w:styleId="785" w:customStyle="1">
    <w:name w:val="Header Char"/>
    <w:basedOn w:val="749"/>
    <w:uiPriority w:val="99"/>
  </w:style>
  <w:style w:type="character" w:styleId="786" w:customStyle="1">
    <w:name w:val="Footer Char"/>
    <w:basedOn w:val="749"/>
    <w:uiPriority w:val="99"/>
  </w:style>
  <w:style w:type="paragraph" w:styleId="787">
    <w:name w:val="Caption"/>
    <w:basedOn w:val="739"/>
    <w:next w:val="739"/>
    <w:link w:val="78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8" w:customStyle="1">
    <w:name w:val="Название объекта Знак"/>
    <w:basedOn w:val="749"/>
    <w:link w:val="787"/>
    <w:uiPriority w:val="35"/>
    <w:rPr>
      <w:b/>
      <w:bCs/>
      <w:color w:val="5b9bd5" w:themeColor="accent1"/>
      <w:sz w:val="18"/>
      <w:szCs w:val="18"/>
    </w:rPr>
  </w:style>
  <w:style w:type="table" w:styleId="789" w:customStyle="1">
    <w:name w:val="Table Grid Light"/>
    <w:basedOn w:val="7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 w:customStyle="1">
    <w:name w:val="Таблица простая 11"/>
    <w:basedOn w:val="7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Таблица простая 21"/>
    <w:basedOn w:val="75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Таблица простая 31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 w:customStyle="1">
    <w:name w:val="Таблица простая 41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Таблица простая 51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 w:customStyle="1">
    <w:name w:val="Таблица-сетка 1 светлая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Таблица-сетка 2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Таблица-сетка 3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41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8" w:customStyle="1">
    <w:name w:val="Grid Table 4 - Accent 2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Grid Table 4 - Accent 3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0" w:customStyle="1">
    <w:name w:val="Grid Table 4 - Accent 4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Grid Table 4 - Accent 5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2" w:customStyle="1">
    <w:name w:val="Grid Table 4 - Accent 6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3" w:customStyle="1">
    <w:name w:val="Таблица-сетка 5 темная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0" w:customStyle="1">
    <w:name w:val="Таблица-сетка 6 цветная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2" w:customStyle="1">
    <w:name w:val="Grid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3" w:customStyle="1">
    <w:name w:val="Grid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4" w:customStyle="1">
    <w:name w:val="Grid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5" w:customStyle="1">
    <w:name w:val="Grid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6" w:customStyle="1">
    <w:name w:val="Grid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7" w:customStyle="1">
    <w:name w:val="Таблица-сетка 7 цветная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Список-таблица 1 светлая1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Список-таблица 2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8" w:customStyle="1">
    <w:name w:val="Список-таблица 3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Список-таблица 4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Список-таблица 5 темная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Список-таблица 6 цветная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1" w:customStyle="1">
    <w:name w:val="List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2" w:customStyle="1">
    <w:name w:val="List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3" w:customStyle="1">
    <w:name w:val="List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4" w:customStyle="1">
    <w:name w:val="List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5" w:customStyle="1">
    <w:name w:val="List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6" w:customStyle="1">
    <w:name w:val="Список-таблица 7 цветная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5" w:customStyle="1">
    <w:name w:val="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9" w:customStyle="1">
    <w:name w:val="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 &amp; 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Bordered &amp; 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Bordered &amp; 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Bordered &amp; 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Bordered &amp; 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Bordered &amp; 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9" w:customStyle="1">
    <w:name w:val="Bordered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0" w:customStyle="1">
    <w:name w:val="Bordered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1" w:customStyle="1">
    <w:name w:val="Bordered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2" w:customStyle="1">
    <w:name w:val="Bordered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3" w:customStyle="1">
    <w:name w:val="Bordered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4">
    <w:name w:val="footnote text"/>
    <w:basedOn w:val="739"/>
    <w:link w:val="915"/>
    <w:uiPriority w:val="99"/>
    <w:semiHidden/>
    <w:unhideWhenUsed/>
    <w:pPr>
      <w:spacing w:after="40"/>
    </w:pPr>
    <w:rPr>
      <w:sz w:val="18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basedOn w:val="749"/>
    <w:uiPriority w:val="99"/>
    <w:unhideWhenUsed/>
    <w:rPr>
      <w:vertAlign w:val="superscript"/>
    </w:rPr>
  </w:style>
  <w:style w:type="paragraph" w:styleId="917">
    <w:name w:val="endnote text"/>
    <w:basedOn w:val="739"/>
    <w:link w:val="918"/>
    <w:uiPriority w:val="99"/>
    <w:semiHidden/>
    <w:unhideWhenUsed/>
    <w:rPr>
      <w:sz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basedOn w:val="749"/>
    <w:uiPriority w:val="99"/>
    <w:semiHidden/>
    <w:unhideWhenUsed/>
    <w:rPr>
      <w:vertAlign w:val="superscript"/>
    </w:rPr>
  </w:style>
  <w:style w:type="paragraph" w:styleId="920">
    <w:name w:val="toc 1"/>
    <w:basedOn w:val="739"/>
    <w:next w:val="739"/>
    <w:uiPriority w:val="39"/>
    <w:unhideWhenUsed/>
    <w:pPr>
      <w:spacing w:after="57"/>
    </w:pPr>
  </w:style>
  <w:style w:type="paragraph" w:styleId="921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22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23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24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25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26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27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28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39"/>
    <w:next w:val="739"/>
    <w:uiPriority w:val="99"/>
    <w:unhideWhenUsed/>
  </w:style>
  <w:style w:type="paragraph" w:styleId="931">
    <w:name w:val="List Paragraph"/>
    <w:basedOn w:val="739"/>
    <w:qFormat/>
    <w:pPr>
      <w:contextualSpacing/>
      <w:ind w:left="720"/>
    </w:pPr>
  </w:style>
  <w:style w:type="paragraph" w:styleId="932" w:customStyle="1">
    <w:name w:val="Знак Знак Знак Знак"/>
    <w:basedOn w:val="7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3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934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935" w:customStyle="1">
    <w:name w:val="Текст в заданном формате"/>
    <w:basedOn w:val="739"/>
    <w:rPr>
      <w:rFonts w:ascii="Courier New" w:hAnsi="Courier New" w:eastAsia="DejaVu Sans Mono" w:cs="Courier New"/>
      <w:sz w:val="20"/>
      <w:szCs w:val="20"/>
    </w:rPr>
  </w:style>
  <w:style w:type="paragraph" w:styleId="936">
    <w:name w:val="Balloon Text"/>
    <w:basedOn w:val="739"/>
    <w:link w:val="937"/>
    <w:uiPriority w:val="99"/>
    <w:semiHidden/>
    <w:unhideWhenUsed/>
    <w:rPr>
      <w:rFonts w:ascii="Tahoma" w:hAnsi="Tahoma" w:cs="Tahoma"/>
      <w:sz w:val="16"/>
      <w:szCs w:val="16"/>
    </w:rPr>
  </w:style>
  <w:style w:type="character" w:styleId="937" w:customStyle="1">
    <w:name w:val="Текст выноски Знак"/>
    <w:basedOn w:val="749"/>
    <w:link w:val="936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paragraph" w:styleId="93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39" w:customStyle="1">
    <w:name w:val="dt-p"/>
    <w:basedOn w:val="739"/>
    <w:pPr>
      <w:spacing w:before="100" w:beforeAutospacing="1" w:after="100" w:afterAutospacing="1"/>
    </w:pPr>
    <w:rPr>
      <w:lang w:eastAsia="ru-RU"/>
    </w:rPr>
  </w:style>
  <w:style w:type="character" w:styleId="940" w:customStyle="1">
    <w:name w:val="dt-r"/>
    <w:basedOn w:val="749"/>
  </w:style>
  <w:style w:type="character" w:styleId="941">
    <w:name w:val="Hyperlink"/>
    <w:basedOn w:val="749"/>
    <w:uiPriority w:val="99"/>
    <w:unhideWhenUsed/>
    <w:rPr>
      <w:color w:val="0000ff"/>
      <w:u w:val="single"/>
    </w:rPr>
  </w:style>
  <w:style w:type="table" w:styleId="942">
    <w:name w:val="Table Grid"/>
    <w:basedOn w:val="75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3">
    <w:name w:val="annotation reference"/>
    <w:basedOn w:val="749"/>
    <w:uiPriority w:val="99"/>
    <w:semiHidden/>
    <w:unhideWhenUsed/>
    <w:rPr>
      <w:sz w:val="16"/>
      <w:szCs w:val="16"/>
    </w:rPr>
  </w:style>
  <w:style w:type="paragraph" w:styleId="944">
    <w:name w:val="annotation text"/>
    <w:basedOn w:val="739"/>
    <w:link w:val="945"/>
    <w:uiPriority w:val="99"/>
    <w:semiHidden/>
    <w:unhideWhenUsed/>
    <w:rPr>
      <w:sz w:val="20"/>
      <w:szCs w:val="20"/>
    </w:rPr>
  </w:style>
  <w:style w:type="character" w:styleId="945" w:customStyle="1">
    <w:name w:val="Текст примечания Знак"/>
    <w:basedOn w:val="749"/>
    <w:link w:val="944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46">
    <w:name w:val="annotation subject"/>
    <w:basedOn w:val="944"/>
    <w:next w:val="944"/>
    <w:link w:val="947"/>
    <w:uiPriority w:val="99"/>
    <w:semiHidden/>
    <w:unhideWhenUsed/>
    <w:rPr>
      <w:b/>
      <w:bCs/>
    </w:rPr>
  </w:style>
  <w:style w:type="character" w:styleId="947" w:customStyle="1">
    <w:name w:val="Тема примечания Знак"/>
    <w:basedOn w:val="945"/>
    <w:link w:val="94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paragraph" w:styleId="948">
    <w:name w:val="Header"/>
    <w:basedOn w:val="739"/>
    <w:link w:val="9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9" w:customStyle="1">
    <w:name w:val="Верхний колонтитул Знак"/>
    <w:basedOn w:val="749"/>
    <w:link w:val="948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50">
    <w:name w:val="Footer"/>
    <w:basedOn w:val="739"/>
    <w:link w:val="9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1" w:customStyle="1">
    <w:name w:val="Нижний колонтитул Знак"/>
    <w:basedOn w:val="749"/>
    <w:link w:val="950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Глазкова</dc:creator>
  <cp:lastModifiedBy>mv_sukhova</cp:lastModifiedBy>
  <cp:revision>18</cp:revision>
  <dcterms:created xsi:type="dcterms:W3CDTF">2026-02-11T12:50:00Z</dcterms:created>
  <dcterms:modified xsi:type="dcterms:W3CDTF">2026-04-07T05:06:03Z</dcterms:modified>
</cp:coreProperties>
</file>