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outlineLvl w:val="0"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2698580</wp:posOffset>
                </wp:positionH>
                <wp:positionV relativeFrom="paragraph">
                  <wp:posOffset>0</wp:posOffset>
                </wp:positionV>
                <wp:extent cx="1178265" cy="1178265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744490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178263" cy="1178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048;o:allowoverlap:true;o:allowincell:true;mso-position-horizontal-relative:text;margin-left:212.49pt;mso-position-horizontal:absolute;mso-position-vertical-relative:text;margin-top:0.00pt;mso-position-vertical:absolute;width:92.78pt;height:92.78pt;mso-wrap-distance-left:9.07pt;mso-wrap-distance-top:0.00pt;mso-wrap-distance-right:9.07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  <w:r/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sz w:val="20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center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КОМИТЕТ ЛЕНИНГРАДСКОЙ ОБЛАСТИ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6"/>
        <w:jc w:val="center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ПО ТРАНСПОРТУ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jc w:val="center"/>
        <w:rPr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«___»__________2026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                                   №___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5"/>
        <w:ind w:firstLine="0"/>
        <w:jc w:val="lef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75"/>
        <w:ind w:firstLine="54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Об утверждении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нормативов минимальной обеспеченности населения пунктами технического осмотра транспортных средств по муниципальным районам, муниципальному округу, городскому округу Ленинградской области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75"/>
        <w:ind w:firstLine="540"/>
        <w:jc w:val="both"/>
        <w:spacing w:before="22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 исполнение пункта 2 постановления Правительства Ленинградской области от 26 февраля 2013 года № 38 «О мерах по организации технического осмотра транспортных средств на территории Ленинградской области», а также в соответствии с постановлением Правительст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 Российской Федерации от 22 декабря 2011 года № 1108 «Об утверждении методики расчета нормативов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образований» приказ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ываю: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875"/>
        <w:ind w:firstLine="540"/>
        <w:jc w:val="both"/>
        <w:spacing w:before="22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1. Утвердить нормативы минимальной обеспеченности населения пунктами технического осмотра транспортных средств 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муниципальным районам, муниципальному округу, городскому округу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Ленинградской области согласно приложению к настоящему приказу;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75"/>
        <w:ind w:firstLine="540"/>
        <w:jc w:val="both"/>
        <w:spacing w:before="22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 Признать утратившими силу: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75"/>
        <w:ind w:firstLine="540"/>
        <w:jc w:val="both"/>
        <w:spacing w:before="22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- 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риказ управления Ленинградской области по транспорту от 16.01.2020 № 2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Об утверждении нормативов минимальной обеспеченности населения пунктами технического осмотра транспортных средств по муниципальным районам (городскому округу) Ленинградской области»;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875"/>
        <w:ind w:firstLine="540"/>
        <w:jc w:val="both"/>
        <w:spacing w:before="22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- 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риказ управления Ленинградской области по транспорту от 10.02.2020 № 7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 внесении изменений в приказ управления Ленинградской области по транспорту от 16 января 2020 года № 2 «Об утверждении нормативов минимальной обеспеченности населения пунктами технического осмотра транспортных средств по муниципальным районам (городскому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округу) Ленинградской области»;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875"/>
        <w:ind w:firstLine="540"/>
        <w:jc w:val="both"/>
        <w:spacing w:before="22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3. Контроль за исполнением настоящего приказа оставляю за собой.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7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Председатель Комитета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О.В. Антропов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right"/>
        <w:spacing w:after="0" w:line="276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Государственный регистрационный номер: 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Дата государственной регистрации: _</w:t>
      </w:r>
      <w:r>
        <w:rPr>
          <w:rFonts w:ascii="Times New Roman" w:hAnsi="Times New Roman"/>
          <w:sz w:val="24"/>
          <w:szCs w:val="24"/>
        </w:rPr>
        <w:t xml:space="preserve">__._</w:t>
      </w:r>
      <w:r>
        <w:rPr>
          <w:rFonts w:ascii="Times New Roman" w:hAnsi="Times New Roman"/>
          <w:sz w:val="24"/>
          <w:szCs w:val="24"/>
        </w:rPr>
        <w:t xml:space="preserve">_____.2026 </w:t>
      </w:r>
      <w:r/>
      <w:r>
        <w:rPr>
          <w:rFonts w:ascii="Times New Roman" w:hAnsi="Times New Roman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5953" w:right="0" w:firstLine="0"/>
        <w:jc w:val="right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5953" w:right="0" w:firstLine="0"/>
        <w:jc w:val="right"/>
        <w:spacing w:after="0" w:line="240" w:lineRule="auto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к приказу Комитета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</w:r>
      <w:r/>
    </w:p>
    <w:p>
      <w:pPr>
        <w:ind w:left="5953" w:right="0" w:firstLine="0"/>
        <w:jc w:val="right"/>
        <w:spacing w:after="0" w:line="240" w:lineRule="auto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Ленинградской области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</w:r>
      <w:r/>
    </w:p>
    <w:p>
      <w:pPr>
        <w:ind w:left="5953" w:right="0" w:firstLine="0"/>
        <w:jc w:val="right"/>
        <w:spacing w:after="0" w:line="240" w:lineRule="auto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по транспорту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</w:r>
      <w:r/>
    </w:p>
    <w:p>
      <w:pPr>
        <w:ind w:left="5953" w:right="0" w:firstLine="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от __ ______ 20__ г. № 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5"/>
      </w:pPr>
      <w:r/>
      <w:r/>
    </w:p>
    <w:p>
      <w:pPr>
        <w:pStyle w:val="875"/>
        <w:contextualSpacing/>
        <w:jc w:val="center"/>
        <w:spacing w:before="0"/>
        <w:suppressLineNumbers w:val="0"/>
      </w:pPr>
      <w:r/>
      <w:r/>
    </w:p>
    <w:p>
      <w:pPr>
        <w:contextualSpacing/>
        <w:jc w:val="center"/>
        <w:spacing w:before="0"/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eastAsiaTheme="minorEastAsia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НОРМАТИВЫ 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</w:rPr>
      </w:r>
    </w:p>
    <w:p>
      <w:pPr>
        <w:contextualSpacing/>
        <w:jc w:val="center"/>
        <w:spacing w:before="0"/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минимальной обеспеченности населения пунктами 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</w:rPr>
      </w:r>
    </w:p>
    <w:p>
      <w:pPr>
        <w:contextualSpacing/>
        <w:jc w:val="center"/>
        <w:spacing w:before="0"/>
        <w:rPr>
          <w:rFonts w:eastAsiaTheme="minorEastAsia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технического осмотра транспортных средств 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муниципальным районам, муниципальному округу, городскому округу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Ленинградской области</w:t>
      </w:r>
      <w:r>
        <w:rPr>
          <w:rFonts w:eastAsiaTheme="minorEastAsia"/>
          <w:highlight w:val="none"/>
        </w:rPr>
      </w:r>
      <w:r>
        <w:rPr>
          <w:rFonts w:eastAsiaTheme="minorEastAsia"/>
          <w:highlight w:val="none"/>
        </w:rPr>
      </w:r>
    </w:p>
    <w:tbl>
      <w:tblPr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2126"/>
        <w:gridCol w:w="2409"/>
        <w:gridCol w:w="2126"/>
      </w:tblGrid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N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Муниципальные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tcW w:w="6661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Нормативы минимальной обеспеченности населения пунктами технического осмотра транспортных средств (в том числе передвижными), ед.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 технологически совместимая группа ТС (категории Ml, N1, O1 и O2)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 технологически совместимая группа ТС (категории N2, N3, M2, M3, O3, O4 и полуприцепы)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 технологически совместимая группа ТС (категория L)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Бокситогорский муниципальный район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0,244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Волосовский муниципальный район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0,153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0,142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Волховский муниципальный район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0,219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Всеволожский муниципальный район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1,731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0,219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Выборгский муниципальный район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0,503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0,451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Гатчинский муниципальный округ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0,897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1,074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Кингисеппский муниципальный район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0,319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0,417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Киришский муниципальный район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0,246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0,360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Кировский муниципальный район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0,318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0,255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Лодейнопольский муниципальный район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0,137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Ломоносовский муниципальный район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0,481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0,611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Лужский муниципальный район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0,269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0,185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Подпорожский муниципальный район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Приозерский муниципальный район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0,258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Сланцевский муниципальный район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0,148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Сосновоборский городской округ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0,215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0,265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Тихвинский муниципальный район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0,258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Тосненский муниципальный район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0,609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1,423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6,929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6,745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6661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13,730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rFonts w:eastAsiaTheme="minorEastAsia"/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  <w:highlight w:val="none"/>
        </w:rPr>
      </w:r>
      <w:r>
        <w:rPr>
          <w:rFonts w:eastAsiaTheme="minorEastAsia"/>
          <w:highlight w:val="none"/>
        </w:rPr>
      </w:r>
    </w:p>
    <w:p>
      <w:pPr>
        <w:pStyle w:val="875"/>
        <w:ind w:left="0" w:right="0" w:firstLine="567"/>
        <w:jc w:val="both"/>
        <w:tabs>
          <w:tab w:val="left" w:pos="-14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Примечания: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5"/>
        <w:ind w:left="0" w:right="0" w:firstLine="567"/>
        <w:jc w:val="both"/>
        <w:spacing w:before="240"/>
        <w:tabs>
          <w:tab w:val="left" w:pos="-14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Технологически совместимые группы транспортных средств соответствуют </w:t>
      </w:r>
      <w:hyperlink r:id="rId11" w:tooltip="Постановление Правительства РФ от 22.12.2011 N 1108 &quot;Об утверждении методики расчета нормативов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&quot; {КонсультантПлюс}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методике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утвержденной постановлением Правит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ельства Российской Федерации от 22 декабря 2011 года № 1108 «Об утверждении методики расчета нормативов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5"/>
        <w:ind w:left="0" w:right="0" w:firstLine="567"/>
        <w:jc w:val="both"/>
        <w:spacing w:before="240"/>
        <w:tabs>
          <w:tab w:val="left" w:pos="-14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Категории транспортных средств соответствуют классификации, установленной в </w:t>
      </w:r>
      <w:hyperlink r:id="rId12" w:tooltip="Решение Комиссии Таможенного союза от 09.12.2011 N 877 (ред. от 05.12.2025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приложении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 техническому регламенту Таможенного союза «О безопасности колесных транспортных средств», утвержденному Решением Комиссии Таможенного союза от 9 декабря 2011 года № 877.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5"/>
        <w:ind w:left="0" w:right="0" w:firstLine="567"/>
        <w:jc w:val="both"/>
        <w:spacing w:before="240"/>
        <w:tabs>
          <w:tab w:val="left" w:pos="-14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Расчет нормативов минимальной обеспеченности населения пунктами технического осмотра транспортных средств по каждой технологически совместимой группе транспортных средств проведен исходя из следующего: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5"/>
        <w:ind w:left="0" w:right="0" w:firstLine="567"/>
        <w:jc w:val="both"/>
        <w:spacing w:before="240"/>
        <w:tabs>
          <w:tab w:val="left" w:pos="-14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количество диагностических линий на пункте технического осмотра транспортных средств принято равным 1;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5"/>
        <w:ind w:left="0" w:right="0" w:firstLine="567"/>
        <w:jc w:val="both"/>
        <w:spacing w:before="240"/>
        <w:tabs>
          <w:tab w:val="left" w:pos="-14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количество транспортных средств соответствующих технологически совместимых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групп, зарегистрированных в муниципальном районе, муниципальном округе, городском округе и прошедших технический осмотр в 2025 году, определено в соответствии с данными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Государственной инспекции безопасности дорожного движения Министерства внутренних дел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5"/>
        <w:ind w:left="0" w:right="0" w:firstLine="567"/>
        <w:jc w:val="both"/>
        <w:spacing w:before="240"/>
        <w:tabs>
          <w:tab w:val="left" w:pos="-14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нормативы продолжительности технического диагностирования категорий транспортных средств соответствуют </w:t>
      </w:r>
      <w:hyperlink r:id="rId13" w:tooltip="Постановление Правительства РФ от 05.12.2011 N 1008 (ред. от 15.09.2020) &quot;О проведении технического осмотра транспортных средств&quot; (с изм. и доп., вступ. в силу с 01.01.2021) ------------ Утратил силу или отменен {КонсультантПлюс}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Правилам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проведения технического осмотра транспортных средств, утвержденным постановлением Правительства Российской Федерации от 15 сентября 2020 года № 1434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5"/>
        <w:ind w:left="0" w:right="0" w:firstLine="567"/>
        <w:jc w:val="both"/>
        <w:spacing w:before="240"/>
        <w:tabs>
          <w:tab w:val="left" w:pos="-14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5"/>
        <w:ind w:left="0" w:right="0" w:firstLine="567"/>
        <w:jc w:val="both"/>
        <w:spacing w:before="240"/>
        <w:tabs>
          <w:tab w:val="left" w:pos="-142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планируемый годовой фонд рабочего времени одного технического эксперта - оператора технического осмотра принят равным 1976 часам;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75"/>
        <w:ind w:left="0" w:right="0" w:firstLine="567"/>
        <w:jc w:val="both"/>
        <w:spacing w:before="240"/>
        <w:tabs>
          <w:tab w:val="left" w:pos="-14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среднее количество технических экспертов - операторов технического осмотра, занятых на одной диагностической линии, принято равным 2,5;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5"/>
        <w:ind w:left="0" w:right="0" w:firstLine="567"/>
        <w:jc w:val="both"/>
        <w:spacing w:before="240"/>
        <w:tabs>
          <w:tab w:val="left" w:pos="-14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коэффициент, учитывающий территориальную доступность, принят для всех муниципальных районов, муниципального округа, городского округа равным 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hd w:val="nil" w:color="000000"/>
        <w:rPr>
          <w:rFonts w:eastAsiaTheme="minorEastAsia"/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  <w:highlight w:val="none"/>
        </w:rPr>
      </w:r>
      <w:r>
        <w:rPr>
          <w:rFonts w:eastAsiaTheme="minorEastAsia"/>
          <w:highlight w:val="none"/>
        </w:rPr>
      </w:r>
    </w:p>
    <w:p>
      <w:pPr>
        <w:shd w:val="nil" w:color="000000"/>
        <w:rPr>
          <w:rFonts w:eastAsiaTheme="minorEastAsia"/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  <w:highlight w:val="none"/>
        </w:rPr>
      </w:r>
      <w:r>
        <w:rPr>
          <w:rFonts w:eastAsiaTheme="minorEastAsia"/>
          <w:highlight w:val="none"/>
        </w:rPr>
      </w:r>
    </w:p>
    <w:p>
      <w:pPr>
        <w:shd w:val="nil" w:color="000000"/>
        <w:rPr>
          <w:rFonts w:eastAsiaTheme="minorEastAsia"/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  <w:highlight w:val="none"/>
        </w:rPr>
      </w:r>
      <w:r>
        <w:rPr>
          <w:rFonts w:eastAsiaTheme="minorEastAsia"/>
          <w:highlight w:val="none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680" w:right="567" w:bottom="567" w:left="1134" w:header="0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36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69"/>
    <w:next w:val="869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69"/>
    <w:next w:val="869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69"/>
    <w:next w:val="869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69"/>
    <w:next w:val="869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69"/>
    <w:next w:val="869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69"/>
    <w:next w:val="869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69"/>
    <w:next w:val="869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69"/>
    <w:next w:val="869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69"/>
    <w:next w:val="869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Title"/>
    <w:basedOn w:val="869"/>
    <w:next w:val="869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link w:val="711"/>
    <w:uiPriority w:val="10"/>
    <w:rPr>
      <w:sz w:val="48"/>
      <w:szCs w:val="48"/>
    </w:rPr>
  </w:style>
  <w:style w:type="paragraph" w:styleId="713">
    <w:name w:val="Subtitle"/>
    <w:basedOn w:val="869"/>
    <w:next w:val="869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link w:val="713"/>
    <w:uiPriority w:val="11"/>
    <w:rPr>
      <w:sz w:val="24"/>
      <w:szCs w:val="24"/>
    </w:rPr>
  </w:style>
  <w:style w:type="paragraph" w:styleId="715">
    <w:name w:val="Quote"/>
    <w:basedOn w:val="869"/>
    <w:next w:val="869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9"/>
    <w:next w:val="869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69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link w:val="719"/>
    <w:uiPriority w:val="99"/>
  </w:style>
  <w:style w:type="paragraph" w:styleId="721">
    <w:name w:val="Footer"/>
    <w:basedOn w:val="869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link w:val="721"/>
    <w:uiPriority w:val="99"/>
  </w:style>
  <w:style w:type="paragraph" w:styleId="723">
    <w:name w:val="Caption"/>
    <w:basedOn w:val="869"/>
    <w:next w:val="869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721"/>
    <w:uiPriority w:val="99"/>
  </w:style>
  <w:style w:type="table" w:styleId="725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5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6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7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8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9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0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No Spacing"/>
    <w:basedOn w:val="869"/>
    <w:uiPriority w:val="1"/>
    <w:qFormat/>
    <w:pPr>
      <w:spacing w:after="0" w:line="240" w:lineRule="auto"/>
    </w:pPr>
  </w:style>
  <w:style w:type="paragraph" w:styleId="873">
    <w:name w:val="List Paragraph"/>
    <w:basedOn w:val="869"/>
    <w:uiPriority w:val="34"/>
    <w:qFormat/>
    <w:pPr>
      <w:contextualSpacing/>
      <w:ind w:left="720"/>
    </w:pPr>
  </w:style>
  <w:style w:type="character" w:styleId="874" w:default="1">
    <w:name w:val="Default Paragraph Font"/>
    <w:uiPriority w:val="1"/>
    <w:semiHidden/>
    <w:unhideWhenUsed/>
  </w:style>
  <w:style w:type="paragraph" w:styleId="875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6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1.jpg"/><Relationship Id="rId11" Type="http://schemas.openxmlformats.org/officeDocument/2006/relationships/hyperlink" Target="https://login.consultant.ru/link/?req=doc&amp;base=LAW&amp;n=124233&amp;date=23.03.2026&amp;dst=100009&amp;field=134" TargetMode="External"/><Relationship Id="rId12" Type="http://schemas.openxmlformats.org/officeDocument/2006/relationships/hyperlink" Target="https://login.consultant.ru/link/?req=doc&amp;base=LAW&amp;n=524432&amp;date=23.03.2026&amp;dst=100598&amp;field=134" TargetMode="External"/><Relationship Id="rId13" Type="http://schemas.openxmlformats.org/officeDocument/2006/relationships/hyperlink" Target="https://login.consultant.ru/link/?req=doc&amp;base=LAW&amp;n=358089&amp;date=23.03.2026&amp;dst=100018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ma_egorchenkov</cp:lastModifiedBy>
  <cp:revision>8</cp:revision>
  <dcterms:modified xsi:type="dcterms:W3CDTF">2026-04-17T08:39:49Z</dcterms:modified>
</cp:coreProperties>
</file>