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0"/>
        <w:ind w:right="-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7090" w:right="-1" w:hanging="99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</w:t>
        <w:br/>
        <w:t xml:space="preserve">«Глобицы. Курганно-жальничный могильник</w:t>
      </w:r>
      <w:r>
        <w:rPr>
          <w:rFonts w:ascii="Times New Roman" w:hAnsi="Times New Roman"/>
          <w:b/>
          <w:sz w:val="28"/>
          <w:szCs w:val="28"/>
        </w:rPr>
        <w:t xml:space="preserve">», обнаруженного </w:t>
        <w:br/>
        <w:t xml:space="preserve">в Ломоносовском муниципальном районе Ленинградской области, </w:t>
        <w:br/>
        <w:t xml:space="preserve">в Перечень выявленных объектов культурного наследия, </w:t>
        <w:br/>
        <w:t xml:space="preserve">расположенных на территории Ленинградской области, </w:t>
        <w:br/>
        <w:t xml:space="preserve">и утверждении гран</w:t>
      </w:r>
      <w:r>
        <w:rPr>
          <w:rFonts w:ascii="Times New Roman" w:hAnsi="Times New Roman"/>
          <w:b/>
          <w:sz w:val="28"/>
          <w:szCs w:val="28"/>
        </w:rPr>
        <w:t xml:space="preserve">иц его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0"/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</w:t>
        <w:br/>
        <w:t xml:space="preserve">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культуры и туризма», пунктами 2.1.2, 2.3.7 Положения о комитете </w:t>
        <w:br/>
        <w:t xml:space="preserve">по сохранению культурного наследия Ленинградской области, утвержденного постановлением Правительства Ленинградской области от 24 декабря 2020 года </w:t>
        <w:br/>
        <w:t xml:space="preserve">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поступивших от Центра спасательной археологии федерального государственного бюджетного учреждения науки Институт истории материальной культуры Российской академии наук (письмо от 21 апреля 2026 года №24-4677 (14102/33.1-215.21-239)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х. от 22.04.2026 № 01-09-3399/2026)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«Глобицы. Курганно-жальничный могильник», местонахождение: Ленинградская область, Ломоносовский район, в 418 м на восток от восточной окраины д. Глобицы, в 1,14 км от центра деревни, слева от старой грунтовой дороги, ведущей к дер. Воронино.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Ломоносовский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283"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1260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40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40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0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0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0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«Глобицы. Курганно-жальничный могильник»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0"/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Ломоносовский район, в 418 м на восток от восточной окраины д. Глобицы, в 1,14 км от центра деревни, слева от старой грунтовой дороги, ведущей к дер. Воронино.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40"/>
        <w:contextualSpacing/>
        <w:ind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left="-142" w:right="-1" w:firstLine="142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«Глобицы. Курганно-жальничный могильник»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ind w:left="-425" w:right="-1" w:firstLine="0"/>
        <w:jc w:val="center"/>
        <w:spacing w:after="0" w:line="240" w:lineRule="auto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506478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5772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5064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0.25pt;height:398.8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«Глобицы. Курганно-жальничный могильник»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1)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696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3827"/>
        <w:gridCol w:w="4252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№ точки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Y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416030.069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2153497.615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416034.9734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2153517.05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416038.1987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2153546.23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416015.6624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2153561.302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416001.3951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2153558.637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415986.7843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2153533.699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415991.5901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2153495.699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415967.4938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2153450.544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415999.0811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2153409.621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416013.6053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2153407.02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416045.8026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2153409.252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416068.1325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2153436.039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416072.0245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2153454.602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416030.069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2153497.615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Описание границ территории выявленного объекта археологического наследия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«Глобицы. Курганно-жальничный могильник»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могильника определяются однозначно, по рельефу местности </w:t>
        <w:br/>
        <w:t xml:space="preserve">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распространению погребальных комплексов. Территория, на которой расположен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могильник находится в границах заброшенного зверосовхоза «Северная Пушнина» в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смешанной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роще,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поросшей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вековыми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дубами,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кленами,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соснами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мелкой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растительностью за пределами основной территории </w:t>
        <w:br/>
        <w:t xml:space="preserve">со строениями, напротив «песцового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поля». Расстояние от грунтовой дороги – </w:t>
        <w:br/>
        <w:t xml:space="preserve">36 м на север.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Рельеф местности пологий с плавным понижением на север и северо-восток в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сторону русла реки Воронка. Высотные отметки 122‒127 м по БС.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Площадь могильника 9321 кв. м, периметр – 422 м. Могильник вытянут по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направлению запад-восток. Границы памятника определены на расстоянии 10‒20 м от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крайних погребальных комплексов.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«Глобицы. Курганно-жальничный могильник»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1">
    <w:name w:val="Основной шрифт абзаца"/>
    <w:next w:val="841"/>
    <w:link w:val="840"/>
    <w:uiPriority w:val="1"/>
    <w:unhideWhenUsed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character" w:styleId="844">
    <w:name w:val="apple-converted-space"/>
    <w:basedOn w:val="841"/>
    <w:next w:val="844"/>
    <w:link w:val="840"/>
  </w:style>
  <w:style w:type="paragraph" w:styleId="845">
    <w:name w:val="Абзац списка"/>
    <w:basedOn w:val="840"/>
    <w:next w:val="845"/>
    <w:link w:val="840"/>
    <w:uiPriority w:val="34"/>
    <w:qFormat/>
    <w:pPr>
      <w:contextualSpacing/>
      <w:ind w:left="720"/>
    </w:pPr>
  </w:style>
  <w:style w:type="paragraph" w:styleId="846">
    <w:name w:val="Текст выноски"/>
    <w:basedOn w:val="840"/>
    <w:next w:val="846"/>
    <w:link w:val="84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7">
    <w:name w:val="Текст выноски Знак"/>
    <w:next w:val="847"/>
    <w:link w:val="846"/>
    <w:uiPriority w:val="99"/>
    <w:semiHidden/>
    <w:rPr>
      <w:rFonts w:ascii="Tahoma" w:hAnsi="Tahoma" w:cs="Tahoma"/>
      <w:sz w:val="16"/>
      <w:szCs w:val="16"/>
    </w:rPr>
  </w:style>
  <w:style w:type="character" w:styleId="848">
    <w:name w:val="Выделение"/>
    <w:next w:val="848"/>
    <w:link w:val="840"/>
    <w:uiPriority w:val="20"/>
    <w:qFormat/>
    <w:rPr>
      <w:i/>
      <w:iCs/>
    </w:rPr>
  </w:style>
  <w:style w:type="table" w:styleId="849">
    <w:name w:val="Сетка таблицы"/>
    <w:basedOn w:val="842"/>
    <w:next w:val="849"/>
    <w:link w:val="840"/>
    <w:uiPriority w:val="59"/>
    <w:pPr>
      <w:spacing w:after="0" w:line="240" w:lineRule="auto"/>
    </w:pPr>
    <w:tblPr/>
  </w:style>
  <w:style w:type="character" w:styleId="850">
    <w:name w:val="Другое_"/>
    <w:next w:val="850"/>
    <w:link w:val="851"/>
    <w:uiPriority w:val="99"/>
    <w:rPr>
      <w:rFonts w:ascii="Times New Roman" w:hAnsi="Times New Roman"/>
      <w:color w:val="242424"/>
    </w:rPr>
  </w:style>
  <w:style w:type="paragraph" w:styleId="851">
    <w:name w:val="Другое"/>
    <w:basedOn w:val="840"/>
    <w:next w:val="851"/>
    <w:link w:val="850"/>
    <w:uiPriority w:val="99"/>
    <w:pPr>
      <w:ind w:firstLine="70"/>
      <w:spacing w:after="0" w:line="240" w:lineRule="auto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ma_gribkova</cp:lastModifiedBy>
  <cp:revision>11</cp:revision>
  <dcterms:created xsi:type="dcterms:W3CDTF">2025-08-01T08:31:00Z</dcterms:created>
  <dcterms:modified xsi:type="dcterms:W3CDTF">2026-05-08T13:21:09Z</dcterms:modified>
  <cp:version>983040</cp:version>
</cp:coreProperties>
</file>