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</w:rPr>
      </w:pPr>
      <w:r>
        <w:rPr>
          <w:rFonts w:ascii="Times New Roman" w:hAnsi="Times New Roman" w:eastAsia="Times New Roman" w:cs="Times New Roman"/>
          <w:b/>
          <w:color w:val="00b0f0"/>
        </w:rPr>
        <w:t xml:space="preserve">                    КОМИТЕТ</w:t>
      </w: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</w:rPr>
      </w:pPr>
      <w:r>
        <w:rPr>
          <w:rFonts w:ascii="Times New Roman" w:hAnsi="Times New Roman" w:eastAsia="Times New Roman" w:cs="Times New Roman"/>
          <w:b/>
          <w:color w:val="00b0f0"/>
        </w:rPr>
        <w:t xml:space="preserve">    ПО ЗДРАВООХРАНЕНИЮ</w:t>
      </w: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</w:rPr>
      </w:pPr>
      <w:r>
        <w:rPr>
          <w:rFonts w:ascii="Times New Roman" w:hAnsi="Times New Roman" w:eastAsia="Times New Roman" w:cs="Times New Roman"/>
          <w:b/>
          <w:color w:val="00b0f0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</w:rPr>
      </w:pP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  <w:r>
        <w:rPr>
          <w:rFonts w:ascii="Times New Roman" w:hAnsi="Times New Roman" w:eastAsia="Times New Roman" w:cs="Times New Roman"/>
          <w:b/>
          <w:color w:val="00b0f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b0f0"/>
          <w:sz w:val="28"/>
          <w:szCs w:val="28"/>
        </w:rPr>
        <w:t xml:space="preserve">           П Р И К А З</w:t>
      </w:r>
      <w:r>
        <w:rPr>
          <w:rFonts w:ascii="Times New Roman" w:hAnsi="Times New Roman" w:eastAsia="Times New Roman" w:cs="Times New Roman"/>
          <w:b/>
          <w:color w:val="00b0f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b0f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  <w:t xml:space="preserve">_______________ № __________</w:t>
      </w: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b0f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b0f0"/>
          <w:sz w:val="20"/>
          <w:szCs w:val="20"/>
        </w:rPr>
        <w:t xml:space="preserve">                   </w:t>
      </w:r>
      <w:r>
        <w:rPr>
          <w:rFonts w:ascii="Times New Roman" w:hAnsi="Times New Roman" w:eastAsia="Times New Roman" w:cs="Times New Roman"/>
          <w:color w:val="00b0f0"/>
          <w:sz w:val="20"/>
          <w:szCs w:val="20"/>
        </w:rPr>
        <w:t xml:space="preserve">Санкт-Петербург</w:t>
      </w:r>
      <w:r>
        <w:rPr>
          <w:rFonts w:ascii="Times New Roman" w:hAnsi="Times New Roman" w:eastAsia="Times New Roman" w:cs="Times New Roman"/>
          <w:color w:val="00b0f0"/>
          <w:sz w:val="20"/>
          <w:szCs w:val="20"/>
        </w:rPr>
      </w:r>
      <w:r>
        <w:rPr>
          <w:rFonts w:ascii="Times New Roman" w:hAnsi="Times New Roman" w:eastAsia="Times New Roman" w:cs="Times New Roman"/>
          <w:color w:val="00b0f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ind w:left="0" w:right="4252" w:firstLine="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r>
    </w:p>
    <w:p>
      <w:pPr>
        <w:ind w:left="0" w:right="4252" w:firstLine="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  <w:t xml:space="preserve">Об утверждении порядка организации работы по предоставлению сведений в федеральный регистр медицинских и фармацевтических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  <w:t xml:space="preserve">работников единой государственной информационной системы в сфере здравоохранения организациями, осуществляющими образовательную деятельность и подведомственными Комитету по здравоохранению Ленинградской области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целях обеспечения своевременности, качества и полноты сбора и размещения в федеральном регистре медицинских и фармацевтических работников единой государственной информационной системы в сфере здравоохранения сведений, предусмотренных пунктом 7 Положения о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единой государственной инфор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мационной системе в сфере здравоохранения, утвержденного постановлением Правительства Российской Федерации от 9 февраля 2022 г. № 140 «О единой государственной информационной системе в сфере здравоохранения» (далее – Положение о единой системе), приказываю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: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1.</w:t>
        <w:tab/>
        <w:t xml:space="preserve">Заместителю председателя Комитета по здравоохранению Ленинградской области (далее – Комитет), назначенному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ответственным за организацию работы по предоставлению сведений в модуле «Регистр обучающихся»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федерального  регистра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 медицинских и фармацевтических работников единой государственной информационной системы в сфере здравоохранения (далее – ФРМР) медицинскими организациями и фармацевтическими организациями, подведомственными Комитету (далее – подведомственные организации), правовым актом Комитета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:</w:t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)</w:t>
        <w:tab/>
        <w:t xml:space="preserve">обеспечивать в постоянном режиме качество и полноту сбора и размещения образовательными организациями сведений о лицах, обучающихся по образовательным программам среднего профессионального и высшего медицинского образования, образовательным программам ср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еднего профессионального и высшего фармацевтического образования (далее – обучающиеся), в Регистре обучающихся;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2)</w:t>
        <w:tab/>
        <w:t xml:space="preserve">обеспечить размещение сведений в Регистр обучающихся не позднее 3 рабочих дней со дня получения образовательными организациями актуализированных данных;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3)</w:t>
        <w:tab/>
        <w:t xml:space="preserve">разработать (актуализировать) не позднее 10 дней от даты настоящего приказа (рабочих дней):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а) регламент ведения, мониторинга и контроля качества данных в Регистре обучающихся, устанавливающий: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порядок   мониторинга   и   контроля   своевременности,   полноты и  достоверности данных, предоставляемых  образовательными  организациями в Регистр обучающихся;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перечень  показателей,  характеризующих  своевременность,  полноту и качество ведения Регистра обучающихся в субъекте Российской Федерации (указать субъект Российской Федерации);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б) отчетную форму для контроля наполняемости и качества данных Регистра обучающихся (далее – отчетная форма);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4)</w:t>
        <w:tab/>
        <w:t xml:space="preserve">обеспечить учет показателей, указанных в подпункте 3 настоящего пункта настоящего приказа в разрезе поставщиков данных с проведением соответствующей организационной работы по исправлению ошибок;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)</w:t>
        <w:tab/>
        <w:t xml:space="preserve">организовать работу по обучению лиц, уполномоченных на внесение сведений в Регистре обучающихся, в соответствии с подпунктом 2 пункта 3 настоящего приказа, на основании актуальной версии руководства пользователя ФРМР, размещенного на Портале оперативного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взаимодействия участников ЕГИСЗ в информационно-коммуникационной сети «Интернет» по адресу: https://portal.egisz.rosminzdrav.ru/ с обсуждением ошибок, выявляемых при ведении ФРМР, и предоставлением рекомендаций по их недопущению;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)</w:t>
        <w:tab/>
        <w:t xml:space="preserve">ежемесячно, не позднее 25 числа, представлять руководителю исполнительного органа субъекта Российской Федерации в сфере охраны здоровья (указать субъект Российской Федерации) информацию о статусе исполнения настоящего приказа, а также о предусмотренных п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одпунктом 3 пункта 3 настоящего приказа регламенте, динамике по показателям, результатах организационной работы;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7)</w:t>
        <w:tab/>
        <w:t xml:space="preserve">обеспечить не позднее 10 дней от даты настоящего приказа (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рабочих дней) направление отчетной формы (подпункт 3 настоящего пункта) в адрес образовательных организаций.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3.</w:t>
        <w:tab/>
        <w:t xml:space="preserve">Руководителям образовательных организаций, подведомственных Комитету: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1)</w:t>
        <w:tab/>
        <w:t xml:space="preserve">издать приказы об определении лиц, ответственных за организацию работы в Регистре обучающихся: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2)</w:t>
        <w:tab/>
        <w:t xml:space="preserve">обеспечивать своевременное и в полном объеме размещение сведений об обучающихся, в Регистре обучающихся не позднее 3 рабочих дней со дня получения образовательными организациями актуализированных данных;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3)</w:t>
        <w:tab/>
        <w:t xml:space="preserve">издать приказ об определении в образовательной организации лиц, уполномоченных на внесение сведений в Регистре обучающихся;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4)</w:t>
        <w:tab/>
        <w:t xml:space="preserve">разработать (актуализировать) не позднее 10 рабочих дней от даты настоящего приказа регламент внесения сведений в Регистр обучающихся, мониторинга и контроля качества данных в Регистре обучающихся;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5)</w:t>
        <w:tab/>
        <w:t xml:space="preserve">обучить лиц, уполномоченных на внесение сведений в Регистре обучающихся, в соответствии с подпунктом 5 пункта 2 настоящего приказа;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6)</w:t>
        <w:tab/>
        <w:t xml:space="preserve">ежемесячно, не позднее 20 числа, представлять заместителю руководителя исполнительного органа субъекта Российской Федерации в сфере охраны здоровья Ленинградской области, определенного в соответствии с пунктом 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1 настоящего приказа, информацию о статусе исполнения настоящего приказа, о динамике по показателям в соответствии с отчетной формой (подпункт 3 пункта 2 настоящего приказа);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7)</w:t>
        <w:tab/>
        <w:t xml:space="preserve">предусмотреть в должностных инструкциях лиц, уполномоченных на внесение сведений в Регистре обучающихся, трудовую функцию по обеспечению своевременного предоставления сведений в Регистр обучающихся.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4.</w:t>
        <w:tab/>
        <w:t xml:space="preserve">Руководителям образовательных организаций, расположенных на территории Ленинградской области, являющихся поставщиками сведений в Регистр обучающихся и не являющихся подведомственными организациями исполнительного органа субъекта Российск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ой Федерации в сфере охраны здоровья (указать субъект Российской Федерации)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рекомендовать обеспечить выполнение мероприятий, предусмотренных пунктом 2 настоящего приказа.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5.</w:t>
        <w:tab/>
        <w:t xml:space="preserve">Контроль за исполнением настоящего приказа оставляю за собой.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/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ind w:firstLine="680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</w:t>
      </w:r>
      <w:r>
        <w:rPr>
          <w:rFonts w:ascii="Times New Roman" w:hAnsi="Times New Roman"/>
          <w:sz w:val="28"/>
          <w:szCs w:val="28"/>
        </w:rPr>
        <w:t xml:space="preserve">омитета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А.В. </w:t>
      </w:r>
      <w:r>
        <w:rPr>
          <w:rFonts w:ascii="Times New Roman" w:hAnsi="Times New Roman"/>
          <w:sz w:val="28"/>
          <w:szCs w:val="28"/>
        </w:rPr>
        <w:t xml:space="preserve">Жарков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720" w:right="1276" w:bottom="426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spacing w:line="14" w:lineRule="auto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6" w:hanging="248"/>
      </w:pPr>
      <w:rPr>
        <w:rFonts w:hint="default"/>
        <w:b/>
        <w:bCs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3" w:hanging="24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47" w:hanging="2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674" w:hanging="2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187" w:hanging="2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701" w:hanging="2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4214" w:hanging="2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728" w:hanging="24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1017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18" w:hanging="17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16" w:hanging="17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14" w:hanging="17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12" w:hanging="17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10" w:hanging="17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08" w:hanging="17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06" w:hanging="17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04" w:hanging="17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1" w:hanging="319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56" w:hanging="31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12" w:hanging="31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68" w:hanging="31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24" w:hanging="31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80" w:hanging="31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36" w:hanging="31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92" w:hanging="31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48" w:hanging="319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cs="Times New Roman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37" w:hanging="36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34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72" w:hanging="37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88" w:hanging="37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04" w:hanging="37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20" w:hanging="37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6" w:hanging="37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52" w:hanging="37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68" w:hanging="37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37" w:hanging="243"/>
      </w:pPr>
      <w:rPr>
        <w:rFonts w:hint="default" w:ascii="Times New Roman" w:hAnsi="Times New Roman" w:eastAsia="Times New Roman" w:cs="Times New Roman"/>
        <w:b/>
        <w:bCs/>
        <w:i w:val="0"/>
        <w:iCs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02" w:hanging="24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64" w:hanging="24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26" w:hanging="24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88" w:hanging="24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12" w:hanging="24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4" w:hanging="24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36" w:hanging="243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1"/>
  </w:num>
  <w:num w:numId="5">
    <w:abstractNumId w:val="28"/>
  </w:num>
  <w:num w:numId="6">
    <w:abstractNumId w:val="29"/>
  </w:num>
  <w:num w:numId="7">
    <w:abstractNumId w:val="14"/>
  </w:num>
  <w:num w:numId="8">
    <w:abstractNumId w:val="43"/>
  </w:num>
  <w:num w:numId="9">
    <w:abstractNumId w:val="23"/>
  </w:num>
  <w:num w:numId="10">
    <w:abstractNumId w:val="36"/>
  </w:num>
  <w:num w:numId="11">
    <w:abstractNumId w:val="30"/>
  </w:num>
  <w:num w:numId="12">
    <w:abstractNumId w:val="3"/>
  </w:num>
  <w:num w:numId="13">
    <w:abstractNumId w:val="15"/>
  </w:num>
  <w:num w:numId="14">
    <w:abstractNumId w:val="2"/>
  </w:num>
  <w:num w:numId="15">
    <w:abstractNumId w:val="16"/>
  </w:num>
  <w:num w:numId="16">
    <w:abstractNumId w:val="40"/>
  </w:num>
  <w:num w:numId="17">
    <w:abstractNumId w:val="35"/>
  </w:num>
  <w:num w:numId="18">
    <w:abstractNumId w:val="33"/>
  </w:num>
  <w:num w:numId="19">
    <w:abstractNumId w:val="32"/>
  </w:num>
  <w:num w:numId="20">
    <w:abstractNumId w:val="17"/>
  </w:num>
  <w:num w:numId="21">
    <w:abstractNumId w:val="4"/>
  </w:num>
  <w:num w:numId="22">
    <w:abstractNumId w:val="31"/>
  </w:num>
  <w:num w:numId="23">
    <w:abstractNumId w:val="12"/>
  </w:num>
  <w:num w:numId="24">
    <w:abstractNumId w:val="41"/>
  </w:num>
  <w:num w:numId="25">
    <w:abstractNumId w:val="20"/>
  </w:num>
  <w:num w:numId="26">
    <w:abstractNumId w:val="39"/>
  </w:num>
  <w:num w:numId="27">
    <w:abstractNumId w:val="24"/>
  </w:num>
  <w:num w:numId="28">
    <w:abstractNumId w:val="22"/>
  </w:num>
  <w:num w:numId="29">
    <w:abstractNumId w:val="25"/>
  </w:num>
  <w:num w:numId="30">
    <w:abstractNumId w:val="0"/>
  </w:num>
  <w:num w:numId="31">
    <w:abstractNumId w:val="8"/>
  </w:num>
  <w:num w:numId="32">
    <w:abstractNumId w:val="27"/>
  </w:num>
  <w:num w:numId="33">
    <w:abstractNumId w:val="13"/>
  </w:num>
  <w:num w:numId="34">
    <w:abstractNumId w:val="38"/>
  </w:num>
  <w:num w:numId="35">
    <w:abstractNumId w:val="34"/>
  </w:num>
  <w:num w:numId="36">
    <w:abstractNumId w:val="26"/>
  </w:num>
  <w:num w:numId="37">
    <w:abstractNumId w:val="6"/>
  </w:num>
  <w:num w:numId="38">
    <w:abstractNumId w:val="11"/>
  </w:num>
  <w:num w:numId="39">
    <w:abstractNumId w:val="7"/>
  </w:num>
  <w:num w:numId="40">
    <w:abstractNumId w:val="5"/>
  </w:num>
  <w:num w:numId="41">
    <w:abstractNumId w:val="42"/>
  </w:num>
  <w:num w:numId="42">
    <w:abstractNumId w:val="37"/>
  </w:num>
  <w:num w:numId="43">
    <w:abstractNumId w:val="1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Heading 1 Char"/>
    <w:basedOn w:val="925"/>
    <w:link w:val="924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23"/>
    <w:next w:val="923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basedOn w:val="925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23"/>
    <w:next w:val="923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basedOn w:val="925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23"/>
    <w:next w:val="923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basedOn w:val="925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23"/>
    <w:next w:val="923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basedOn w:val="92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23"/>
    <w:next w:val="923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basedOn w:val="925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23"/>
    <w:next w:val="923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basedOn w:val="925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23"/>
    <w:next w:val="923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basedOn w:val="925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23"/>
    <w:next w:val="923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basedOn w:val="925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basedOn w:val="923"/>
    <w:next w:val="923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basedOn w:val="925"/>
    <w:link w:val="771"/>
    <w:uiPriority w:val="10"/>
    <w:rPr>
      <w:sz w:val="48"/>
      <w:szCs w:val="48"/>
    </w:rPr>
  </w:style>
  <w:style w:type="paragraph" w:styleId="773">
    <w:name w:val="Subtitle"/>
    <w:basedOn w:val="923"/>
    <w:next w:val="923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basedOn w:val="925"/>
    <w:link w:val="773"/>
    <w:uiPriority w:val="11"/>
    <w:rPr>
      <w:sz w:val="24"/>
      <w:szCs w:val="24"/>
    </w:rPr>
  </w:style>
  <w:style w:type="paragraph" w:styleId="775">
    <w:name w:val="Quote"/>
    <w:basedOn w:val="923"/>
    <w:next w:val="923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3"/>
    <w:next w:val="923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character" w:styleId="779">
    <w:name w:val="Header Char"/>
    <w:basedOn w:val="925"/>
    <w:link w:val="929"/>
    <w:uiPriority w:val="99"/>
  </w:style>
  <w:style w:type="character" w:styleId="780">
    <w:name w:val="Footer Char"/>
    <w:basedOn w:val="925"/>
    <w:link w:val="934"/>
    <w:uiPriority w:val="99"/>
  </w:style>
  <w:style w:type="paragraph" w:styleId="781">
    <w:name w:val="Caption"/>
    <w:basedOn w:val="923"/>
    <w:next w:val="923"/>
    <w:link w:val="7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925"/>
    <w:link w:val="781"/>
    <w:uiPriority w:val="35"/>
    <w:rPr>
      <w:b/>
      <w:bCs/>
      <w:color w:val="4f81bd" w:themeColor="accent1"/>
      <w:sz w:val="18"/>
      <w:szCs w:val="18"/>
    </w:rPr>
  </w:style>
  <w:style w:type="table" w:styleId="783">
    <w:name w:val="Table Grid Light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Footnote Text Char"/>
    <w:link w:val="955"/>
    <w:uiPriority w:val="99"/>
    <w:rPr>
      <w:sz w:val="18"/>
    </w:rPr>
  </w:style>
  <w:style w:type="paragraph" w:styleId="909">
    <w:name w:val="endnote text"/>
    <w:basedOn w:val="923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basedOn w:val="925"/>
    <w:uiPriority w:val="99"/>
    <w:semiHidden/>
    <w:unhideWhenUsed/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paragraph" w:styleId="924">
    <w:name w:val="Heading 1"/>
    <w:basedOn w:val="923"/>
    <w:link w:val="939"/>
    <w:uiPriority w:val="1"/>
    <w:qFormat/>
    <w:pPr>
      <w:ind w:left="376"/>
      <w:spacing w:after="0" w:line="283" w:lineRule="exact"/>
      <w:widowControl w:val="off"/>
      <w:outlineLvl w:val="0"/>
    </w:pPr>
    <w:rPr>
      <w:rFonts w:ascii="Times New Roman" w:hAnsi="Times New Roman" w:eastAsia="Times New Roman" w:cs="Times New Roman"/>
      <w:sz w:val="25"/>
      <w:szCs w:val="25"/>
      <w:lang w:eastAsia="en-US"/>
    </w:rPr>
  </w:style>
  <w:style w:type="character" w:styleId="925" w:default="1">
    <w:name w:val="Default Paragraph Font"/>
    <w:uiPriority w:val="1"/>
    <w:semiHidden/>
    <w:unhideWhenUsed/>
  </w:style>
  <w:style w:type="table" w:styleId="9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7" w:default="1">
    <w:name w:val="No List"/>
    <w:uiPriority w:val="99"/>
    <w:semiHidden/>
    <w:unhideWhenUsed/>
  </w:style>
  <w:style w:type="character" w:styleId="928">
    <w:name w:val="Hyperlink"/>
    <w:basedOn w:val="925"/>
    <w:uiPriority w:val="99"/>
    <w:unhideWhenUsed/>
    <w:rPr>
      <w:color w:val="0000ff" w:themeColor="hyperlink"/>
      <w:u w:val="single"/>
    </w:rPr>
  </w:style>
  <w:style w:type="paragraph" w:styleId="929">
    <w:name w:val="Header"/>
    <w:basedOn w:val="923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 w:customStyle="1">
    <w:name w:val="Верхний колонтитул Знак"/>
    <w:basedOn w:val="925"/>
    <w:link w:val="929"/>
    <w:uiPriority w:val="99"/>
  </w:style>
  <w:style w:type="paragraph" w:styleId="931">
    <w:name w:val="Balloon Text"/>
    <w:basedOn w:val="923"/>
    <w:link w:val="93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2" w:customStyle="1">
    <w:name w:val="Текст выноски Знак"/>
    <w:basedOn w:val="925"/>
    <w:link w:val="931"/>
    <w:uiPriority w:val="99"/>
    <w:semiHidden/>
    <w:rPr>
      <w:rFonts w:ascii="Tahoma" w:hAnsi="Tahoma" w:cs="Tahoma"/>
      <w:sz w:val="16"/>
      <w:szCs w:val="16"/>
    </w:rPr>
  </w:style>
  <w:style w:type="paragraph" w:styleId="933">
    <w:name w:val="List Paragraph"/>
    <w:basedOn w:val="923"/>
    <w:uiPriority w:val="34"/>
    <w:qFormat/>
    <w:pPr>
      <w:contextualSpacing/>
      <w:ind w:left="720"/>
    </w:pPr>
  </w:style>
  <w:style w:type="paragraph" w:styleId="934">
    <w:name w:val="Footer"/>
    <w:basedOn w:val="923"/>
    <w:link w:val="9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5" w:customStyle="1">
    <w:name w:val="Нижний колонтитул Знак"/>
    <w:basedOn w:val="925"/>
    <w:link w:val="934"/>
    <w:uiPriority w:val="99"/>
  </w:style>
  <w:style w:type="paragraph" w:styleId="93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7">
    <w:name w:val="Normal (Web)"/>
    <w:basedOn w:val="9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38">
    <w:name w:val="Table Grid"/>
    <w:basedOn w:val="926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9" w:customStyle="1">
    <w:name w:val="Заголовок 1 Знак"/>
    <w:basedOn w:val="925"/>
    <w:link w:val="924"/>
    <w:uiPriority w:val="1"/>
    <w:rPr>
      <w:rFonts w:ascii="Times New Roman" w:hAnsi="Times New Roman" w:eastAsia="Times New Roman" w:cs="Times New Roman"/>
      <w:sz w:val="25"/>
      <w:szCs w:val="25"/>
      <w:lang w:eastAsia="en-US"/>
    </w:rPr>
  </w:style>
  <w:style w:type="table" w:styleId="94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eastAsiaTheme="minorHAns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41">
    <w:name w:val="Body Text"/>
    <w:basedOn w:val="923"/>
    <w:link w:val="942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3"/>
      <w:szCs w:val="23"/>
      <w:lang w:eastAsia="en-US"/>
    </w:rPr>
  </w:style>
  <w:style w:type="character" w:styleId="942" w:customStyle="1">
    <w:name w:val="Основной текст Знак"/>
    <w:basedOn w:val="925"/>
    <w:link w:val="941"/>
    <w:uiPriority w:val="1"/>
    <w:rPr>
      <w:rFonts w:ascii="Times New Roman" w:hAnsi="Times New Roman" w:eastAsia="Times New Roman" w:cs="Times New Roman"/>
      <w:sz w:val="23"/>
      <w:szCs w:val="23"/>
      <w:lang w:eastAsia="en-US"/>
    </w:rPr>
  </w:style>
  <w:style w:type="paragraph" w:styleId="943" w:customStyle="1">
    <w:name w:val="Table Paragraph"/>
    <w:basedOn w:val="923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en-US"/>
    </w:rPr>
  </w:style>
  <w:style w:type="table" w:styleId="944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rFonts w:eastAsia="Calibr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Table Normal2"/>
    <w:uiPriority w:val="2"/>
    <w:semiHidden/>
    <w:unhideWhenUsed/>
    <w:qFormat/>
    <w:pPr>
      <w:spacing w:after="0" w:line="240" w:lineRule="auto"/>
      <w:widowControl w:val="off"/>
    </w:pPr>
    <w:rPr>
      <w:rFonts w:eastAsia="Calibr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Table Normal3"/>
    <w:uiPriority w:val="2"/>
    <w:semiHidden/>
    <w:unhideWhenUsed/>
    <w:qFormat/>
    <w:pPr>
      <w:spacing w:after="0" w:line="240" w:lineRule="auto"/>
      <w:widowControl w:val="off"/>
    </w:pPr>
    <w:rPr>
      <w:rFonts w:eastAsia="Calibri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947">
    <w:name w:val="annotation reference"/>
    <w:basedOn w:val="925"/>
    <w:uiPriority w:val="99"/>
    <w:semiHidden/>
    <w:unhideWhenUsed/>
    <w:rPr>
      <w:sz w:val="16"/>
      <w:szCs w:val="16"/>
    </w:rPr>
  </w:style>
  <w:style w:type="paragraph" w:styleId="948">
    <w:name w:val="annotation text"/>
    <w:basedOn w:val="923"/>
    <w:link w:val="94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9" w:customStyle="1">
    <w:name w:val="Текст примечания Знак"/>
    <w:basedOn w:val="925"/>
    <w:link w:val="948"/>
    <w:uiPriority w:val="99"/>
    <w:semiHidden/>
    <w:rPr>
      <w:sz w:val="20"/>
      <w:szCs w:val="20"/>
    </w:rPr>
  </w:style>
  <w:style w:type="paragraph" w:styleId="950">
    <w:name w:val="annotation subject"/>
    <w:basedOn w:val="948"/>
    <w:next w:val="948"/>
    <w:link w:val="951"/>
    <w:uiPriority w:val="99"/>
    <w:semiHidden/>
    <w:unhideWhenUsed/>
    <w:rPr>
      <w:b/>
      <w:bCs/>
    </w:rPr>
  </w:style>
  <w:style w:type="character" w:styleId="951" w:customStyle="1">
    <w:name w:val="Тема примечания Знак"/>
    <w:basedOn w:val="949"/>
    <w:link w:val="950"/>
    <w:uiPriority w:val="99"/>
    <w:semiHidden/>
    <w:rPr>
      <w:b/>
      <w:bCs/>
      <w:sz w:val="20"/>
      <w:szCs w:val="20"/>
    </w:rPr>
  </w:style>
  <w:style w:type="paragraph" w:styleId="952">
    <w:name w:val="Revision"/>
    <w:hidden/>
    <w:uiPriority w:val="99"/>
    <w:semiHidden/>
    <w:pPr>
      <w:spacing w:after="0" w:line="240" w:lineRule="auto"/>
    </w:pPr>
  </w:style>
  <w:style w:type="table" w:styleId="953" w:customStyle="1">
    <w:name w:val="Сетка таблицы1"/>
    <w:basedOn w:val="926"/>
    <w:next w:val="938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4" w:customStyle="1">
    <w:name w:val="Сетка таблицы2"/>
    <w:basedOn w:val="926"/>
    <w:next w:val="938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footnote text"/>
    <w:basedOn w:val="923"/>
    <w:link w:val="95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56" w:customStyle="1">
    <w:name w:val="Текст сноски Знак"/>
    <w:basedOn w:val="925"/>
    <w:link w:val="955"/>
    <w:uiPriority w:val="99"/>
    <w:semiHidden/>
    <w:rPr>
      <w:sz w:val="20"/>
      <w:szCs w:val="20"/>
    </w:rPr>
  </w:style>
  <w:style w:type="table" w:styleId="957" w:customStyle="1">
    <w:name w:val="Сетка таблицы3"/>
    <w:basedOn w:val="926"/>
    <w:next w:val="938"/>
    <w:uiPriority w:val="99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8">
    <w:name w:val="footnote reference"/>
    <w:basedOn w:val="925"/>
    <w:uiPriority w:val="99"/>
    <w:semiHidden/>
    <w:unhideWhenUsed/>
    <w:rPr>
      <w:vertAlign w:val="superscript"/>
    </w:rPr>
  </w:style>
  <w:style w:type="character" w:styleId="959">
    <w:name w:val="Strong"/>
    <w:basedOn w:val="925"/>
    <w:uiPriority w:val="22"/>
    <w:qFormat/>
    <w:rPr>
      <w:b/>
      <w:bCs/>
    </w:rPr>
  </w:style>
  <w:style w:type="paragraph" w:styleId="960" w:customStyle="1">
    <w:name w:val="ConsPlusNormal"/>
    <w:pPr>
      <w:spacing w:after="0" w:line="240" w:lineRule="auto"/>
      <w:widowControl w:val="off"/>
    </w:pPr>
    <w:rPr>
      <w:rFonts w:ascii="Calibri" w:hAnsi="Calibri" w:cs="Calibri"/>
    </w:rPr>
  </w:style>
  <w:style w:type="paragraph" w:styleId="961" w:customStyle="1">
    <w:name w:val="ConsPlusTitle"/>
    <w:pPr>
      <w:spacing w:after="0" w:line="240" w:lineRule="auto"/>
      <w:widowControl w:val="off"/>
    </w:pPr>
    <w:rPr>
      <w:rFonts w:ascii="Calibri" w:hAnsi="Calibri" w:cs="Calibri"/>
      <w:b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D1A2-446D-4720-A158-3CE9C837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ParshonovaEB</dc:creator>
  <cp:lastModifiedBy>ma_kozhevnikova</cp:lastModifiedBy>
  <cp:revision>4</cp:revision>
  <dcterms:created xsi:type="dcterms:W3CDTF">2025-08-07T13:18:00Z</dcterms:created>
  <dcterms:modified xsi:type="dcterms:W3CDTF">2026-05-25T08:28:52Z</dcterms:modified>
</cp:coreProperties>
</file>