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93" w:rsidRDefault="000914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1493" w:rsidRDefault="000914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1493" w:rsidRDefault="001C56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:rsidR="00091493" w:rsidRDefault="00091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1493" w:rsidRDefault="001C56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91493" w:rsidRDefault="00091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1493" w:rsidRDefault="00091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1493" w:rsidRDefault="001C56AF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____________ 202__года                                                                      № ____</w:t>
      </w:r>
    </w:p>
    <w:p w:rsidR="00091493" w:rsidRDefault="00091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1493" w:rsidRDefault="000914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1493" w:rsidRDefault="000914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493" w:rsidRDefault="001C56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РЕГИОНАЛЬНОГО </w:t>
      </w:r>
      <w:r>
        <w:rPr>
          <w:rFonts w:ascii="Times New Roman" w:hAnsi="Times New Roman" w:cs="Times New Roman"/>
          <w:bCs/>
          <w:sz w:val="28"/>
          <w:szCs w:val="28"/>
        </w:rPr>
        <w:t>СОЦИАЛЬНОГО БИБЛИОТЕЧНОГО СТАНДАРТА»</w:t>
      </w:r>
    </w:p>
    <w:p w:rsidR="00091493" w:rsidRDefault="00091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1493" w:rsidRDefault="0009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493" w:rsidRDefault="001C56A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4 части 2 статьи 9 Областного закона Ленинградской области от 3 июля 2009 года № 61-оз «Об организации библиотечного обслуживания населения Ленинградской области общедоступными библиотеками», Правительство Ленинградской области постановляет:</w:t>
      </w:r>
    </w:p>
    <w:p w:rsidR="00091493" w:rsidRDefault="001C56A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>
        <w:rPr>
          <w:rFonts w:ascii="Times New Roman" w:hAnsi="Times New Roman" w:cs="Times New Roman"/>
          <w:bCs/>
          <w:sz w:val="28"/>
          <w:szCs w:val="28"/>
        </w:rPr>
        <w:t>твердить региональный социальный библиотечный стандарт.</w:t>
      </w:r>
    </w:p>
    <w:p w:rsidR="00091493" w:rsidRDefault="001C56A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ице-губернатора Ленинградской области по вопросам развития и сохранения культурного наследия – председателя комитета по сохранению культурного наследия Ленинградской области.</w:t>
      </w:r>
    </w:p>
    <w:p w:rsidR="00091493" w:rsidRDefault="001C56A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0" w:name="undefined"/>
      <w:bookmarkEnd w:id="0"/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1493" w:rsidRDefault="000914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91493" w:rsidRDefault="000914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91493" w:rsidRDefault="000914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91493" w:rsidRDefault="001C56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091493" w:rsidRDefault="001C56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091493" w:rsidRDefault="001C56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091493" w:rsidRDefault="0009149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91493" w:rsidRDefault="0009149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91493" w:rsidRDefault="000914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32B0" w:rsidRDefault="00E032B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E032B0" w:rsidSect="009A4874">
          <w:pgSz w:w="11905" w:h="16838"/>
          <w:pgMar w:top="1134" w:right="567" w:bottom="567" w:left="1134" w:header="0" w:footer="0" w:gutter="0"/>
          <w:cols w:space="720"/>
          <w:docGrid w:linePitch="360"/>
        </w:sectPr>
      </w:pPr>
    </w:p>
    <w:p w:rsidR="009A4874" w:rsidRDefault="009A4874" w:rsidP="009A487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A4874" w:rsidRDefault="009A4874" w:rsidP="009A48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A4874" w:rsidRDefault="009A4874" w:rsidP="009A48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A4874" w:rsidRDefault="009A4874" w:rsidP="009A48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N  </w:t>
      </w:r>
    </w:p>
    <w:p w:rsidR="009A4874" w:rsidRDefault="009A4874" w:rsidP="009A48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9A4874" w:rsidRDefault="009A4874" w:rsidP="009A48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4" w:rsidRDefault="009A4874" w:rsidP="009A48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РЕГИОНАЛЬНЫЙ СОЦИАЛЬНЫЙ БИБЛИОТЕЧНЫЙ СТАНДАРТ 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«Региональный социальный библиотечный стандарт»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Стандарт)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совокупность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минимально рекомендуемых требований и норм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результатам деятельности, уровню и качеству библиотечного обслуживания населения, ресурсному обеспечению и нормам по территориальному размещению общедоступных библиотек Ленинградской области в соответствии с требованиями государственных библиотечных стандартов.</w:t>
      </w:r>
    </w:p>
    <w:p w:rsidR="009A4874" w:rsidRDefault="009A4874" w:rsidP="009A48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 разработан в целях развития библиотечно-информационной отрасли Ленинградской области с учетом анализа деятельности общедоступных библиотек Ленинградской области. Наличие Стандарта не исключает обоснованного превышения уровня ресурсного обеспечения библиотек. Стандарт служит основой для принятия эффективных управленческих решений со стороны учредителей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общедоступных библиотек Ленинградской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финансового и организационного обеспечения их деятельности.  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4874" w:rsidRDefault="009A4874" w:rsidP="009A4874">
      <w:pPr>
        <w:pStyle w:val="af5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Нормативы территориального размещения </w:t>
      </w:r>
    </w:p>
    <w:p w:rsidR="009A4874" w:rsidRDefault="009A4874" w:rsidP="009A487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Нормативы территориального размещения библиотек Ленинградской области определяются с учетом численности населения по следующим типам населенных пунктов: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городские населенные пункты: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крупные с численностью населения от 100 тыс. человек до 250 тыс. человек включительно;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большие с численностью населения от 50 тыс. человек до 100 тыс. человек включительно;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средние с численностью населения от 15 тыс. до 50 тыс. человек включительно;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малые с численностью населения до 15 тыс. человек.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сельские населенные пункты: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крупные с численностью населения свыше 5 тыс. человек;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большие с численностью населения от 1 тыс. человек до 5 тыс. человек включительно;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средние с численностью населения от 500 человек до 1 тыс. человек включительно;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малые с численностью населения от 200 человек до 500 человек включительно;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малочисленные с численностью населения от 100 человек до 200 человек включительно.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Нормативная потребность для Ленинградской области представляет собой суммарное значение нормативов по количеству библиотек, установленных для каждого типа населенного пункта.</w:t>
      </w:r>
    </w:p>
    <w:p w:rsidR="009A4874" w:rsidRDefault="009A4874" w:rsidP="009A48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4874" w:rsidRDefault="009A4874" w:rsidP="009A4874">
      <w:pPr>
        <w:pStyle w:val="af5"/>
        <w:numPr>
          <w:ilvl w:val="0"/>
          <w:numId w:val="5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Нормы и нормативы оптимального размещения библиотек</w:t>
      </w:r>
    </w:p>
    <w:p w:rsidR="009A4874" w:rsidRDefault="009A4874" w:rsidP="009A4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874" w:rsidRDefault="009A4874" w:rsidP="009A487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Нормативы оптимального размещения государственных и общедоступных муниципальных библиотек Ленинградской области приведены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fldChar w:fldCharType="begin"/>
      </w:r>
      <w:r>
        <w:instrText xml:space="preserve"> HYPERLINK \l "Par165" \o "#Par165"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аблице № 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ГКУК «Ленинградская областная универсальная научная библиотека» и ГКУК «Ленинградская областная детская библиотека» имеют статус центральных библиотек Ленинградской области и выполняют функции научно-методических центров для общедоступных муниципальных библиотек Ленинградской области.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Пользователям государственных и муниципальных библиотек Ленинградской области независимо от места проживания рекомендуется обеспечить доступ к культурным ценностям на основе цифровых коммуникационных технологий путем размещения точек доступа к полнотекстовым информационным ресурсам. Указанный доступ рекомендуется обеспечивать независимо от количества жителей в населенных пунктах, в том числе на базе существующих библиотек и на бесплатной основе.</w:t>
      </w:r>
    </w:p>
    <w:p w:rsidR="009A4874" w:rsidRDefault="009A4874" w:rsidP="009A4874">
      <w:pPr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сельских населенных пунктах независимо от количества жителей рекомендуется использовать нестационарные библиотечные пункты выдачи, нестационарные комплексы библиотечного обслуживания населения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библиобусов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4874" w:rsidRDefault="009A4874" w:rsidP="009A4874">
      <w:pPr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4874" w:rsidRDefault="009A4874" w:rsidP="009A4874">
      <w:pPr>
        <w:pStyle w:val="af5"/>
        <w:spacing w:before="220"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Ш. Требования к режиму работы библиотек</w:t>
      </w:r>
    </w:p>
    <w:p w:rsidR="009A4874" w:rsidRDefault="009A4874" w:rsidP="009A4874">
      <w:pPr>
        <w:pStyle w:val="af5"/>
        <w:spacing w:before="220"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9A4874" w:rsidRDefault="009A4874" w:rsidP="009A4874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Ежедневный режим работы (в том числе перерывы, выходные, санитарные дни) стационарной библиотеки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внестационарных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 библиотечного обслуживания устанавливается с учетом потребностей местных жителей и интенсивности их посещения. </w:t>
      </w:r>
    </w:p>
    <w:p w:rsidR="009A4874" w:rsidRDefault="009A4874" w:rsidP="009A4874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Время работы библиотек - от 36 часов (для библиотек сельских поселений, работающих в одну смену) и 41 часа (для библиотек городских поселений, работающих в две смены), до 60 часов в неделю (для центральных библиотек). Не менее 30% от общего числа часов работы библиотек не должно совпадать с часами рабочего времени для основной части населения Ленинградской области. </w:t>
      </w:r>
    </w:p>
    <w:p w:rsidR="00740A77" w:rsidRDefault="00740A77" w:rsidP="009A4874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A4874" w:rsidRDefault="009A4874" w:rsidP="009A4874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Таблица 1</w:t>
      </w:r>
    </w:p>
    <w:p w:rsidR="009A4874" w:rsidRDefault="009A4874" w:rsidP="009A48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Default="009A4874" w:rsidP="009A4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65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Рекомендуемые нормы и нормативы</w:t>
      </w:r>
    </w:p>
    <w:p w:rsidR="009A4874" w:rsidRDefault="009A4874" w:rsidP="009A4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оптимального размещения библиотек, единиц</w:t>
      </w:r>
    </w:p>
    <w:p w:rsidR="009A4874" w:rsidRDefault="009A4874" w:rsidP="009A4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874" w:rsidRDefault="009A4874" w:rsidP="009A4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874" w:rsidRDefault="009A4874" w:rsidP="009A48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Нормативы размещения библиотек должны учитывать особенности сложившейся библиотечной сети на момент принятия Стандарта, специфику территории, в том числе численность, плотность и демографический состав населения, наличие мест традиционного проживания коренных малочисленных народов Российской Федерации, транспортную инфраструктуру и социально-экономические особенности развития.</w:t>
      </w:r>
    </w:p>
    <w:p w:rsidR="009A4874" w:rsidRDefault="009A4874" w:rsidP="009A4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0"/>
        <w:gridCol w:w="1233"/>
        <w:gridCol w:w="1245"/>
        <w:gridCol w:w="1160"/>
        <w:gridCol w:w="955"/>
        <w:gridCol w:w="1233"/>
        <w:gridCol w:w="1245"/>
        <w:gridCol w:w="1160"/>
        <w:gridCol w:w="955"/>
        <w:gridCol w:w="2085"/>
      </w:tblGrid>
      <w:tr w:rsidR="009A4874" w:rsidTr="009A4874"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организации культуры</w:t>
            </w:r>
          </w:p>
        </w:tc>
        <w:tc>
          <w:tcPr>
            <w:tcW w:w="36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организаций культуры на один населенный пункт</w:t>
            </w:r>
          </w:p>
        </w:tc>
      </w:tr>
      <w:tr w:rsidR="009A4874" w:rsidTr="009A4874">
        <w:tc>
          <w:tcPr>
            <w:tcW w:w="1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городские населенные пункты</w:t>
            </w:r>
          </w:p>
        </w:tc>
        <w:tc>
          <w:tcPr>
            <w:tcW w:w="2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сельские населенные пункты</w:t>
            </w:r>
          </w:p>
        </w:tc>
      </w:tr>
      <w:tr w:rsidR="009A4874" w:rsidTr="009A4874">
        <w:tc>
          <w:tcPr>
            <w:tcW w:w="1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крупные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большие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малые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крупные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большие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малочисленные</w:t>
            </w:r>
          </w:p>
        </w:tc>
      </w:tr>
      <w:tr w:rsidR="009A4874" w:rsidTr="009A4874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A4874" w:rsidTr="009A487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подведомственные органам государственной власти субъектов Российской Федерации</w:t>
            </w:r>
          </w:p>
        </w:tc>
      </w:tr>
      <w:tr w:rsidR="009A4874" w:rsidTr="009A4874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874" w:rsidRDefault="009A4874" w:rsidP="009A4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Универсальная библиотека</w:t>
            </w:r>
          </w:p>
        </w:tc>
        <w:tc>
          <w:tcPr>
            <w:tcW w:w="1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4874" w:rsidTr="009A4874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библиотека</w:t>
            </w:r>
          </w:p>
        </w:tc>
        <w:tc>
          <w:tcPr>
            <w:tcW w:w="1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4874" w:rsidTr="009A487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учреждения, подведомственные органам местного самоуправления</w:t>
            </w:r>
          </w:p>
        </w:tc>
      </w:tr>
      <w:tr w:rsidR="009A4874" w:rsidTr="009A4874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874" w:rsidRDefault="009A4874" w:rsidP="009A4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библиотека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4874" w:rsidTr="009A4874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74" w:rsidRDefault="009A4874" w:rsidP="009A4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Общедоступная библиотека/Общедоступная библиотека с детским отделением/Филиал общедоступных библиотек с детским отделением/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74" w:rsidRDefault="009A4874" w:rsidP="009A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внестационарный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 обслуживания</w:t>
            </w:r>
          </w:p>
        </w:tc>
      </w:tr>
    </w:tbl>
    <w:p w:rsidR="009A4874" w:rsidRDefault="009A4874" w:rsidP="009A48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4874" w:rsidRDefault="009A4874" w:rsidP="009A4874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40A77" w:rsidRDefault="00740A77" w:rsidP="009A4874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40A77" w:rsidRDefault="00740A77" w:rsidP="009A4874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40A77" w:rsidRDefault="00740A77" w:rsidP="009A4874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40A77" w:rsidRDefault="00740A77" w:rsidP="009A4874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9A4874" w:rsidRDefault="009A4874" w:rsidP="009A4874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9A4874" w:rsidRDefault="009A4874" w:rsidP="009A48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4874" w:rsidRDefault="009A4874" w:rsidP="009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Ресурсное обеспечение государственных и муниципальных библиотек Ленинградской области</w:t>
      </w:r>
    </w:p>
    <w:p w:rsidR="009A4874" w:rsidRDefault="009A4874" w:rsidP="009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A4874" w:rsidRDefault="009A4874" w:rsidP="009A4874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Фондовое обеспечение </w:t>
      </w:r>
    </w:p>
    <w:p w:rsidR="009A4874" w:rsidRDefault="009A4874" w:rsidP="009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f8"/>
        <w:tblW w:w="153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6520"/>
        <w:gridCol w:w="2268"/>
        <w:gridCol w:w="1559"/>
      </w:tblGrid>
      <w:tr w:rsidR="009A4874" w:rsidTr="009A4874">
        <w:trPr>
          <w:trHeight w:val="983"/>
        </w:trPr>
        <w:tc>
          <w:tcPr>
            <w:tcW w:w="2410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библиотеки</w:t>
            </w:r>
          </w:p>
        </w:tc>
        <w:tc>
          <w:tcPr>
            <w:tcW w:w="2552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Объем библиотечного фонда</w:t>
            </w:r>
          </w:p>
        </w:tc>
        <w:tc>
          <w:tcPr>
            <w:tcW w:w="6520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библиотечного фонда</w:t>
            </w:r>
          </w:p>
        </w:tc>
        <w:tc>
          <w:tcPr>
            <w:tcW w:w="2268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Обновление библиотечного фонда</w:t>
            </w:r>
          </w:p>
        </w:tc>
        <w:tc>
          <w:tcPr>
            <w:tcW w:w="1559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Списание документного фонда</w:t>
            </w:r>
          </w:p>
        </w:tc>
      </w:tr>
      <w:tr w:rsidR="009A4874" w:rsidTr="009A4874">
        <w:trPr>
          <w:trHeight w:val="322"/>
        </w:trPr>
        <w:tc>
          <w:tcPr>
            <w:tcW w:w="241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Центральная библиотека</w:t>
            </w:r>
          </w:p>
        </w:tc>
        <w:tc>
          <w:tcPr>
            <w:tcW w:w="255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0,5 экз. книг на 1 жителя региона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на физических (материальных) носителях должны составлять не менее 60 % от общего объема фонда. Ядро фонда - 40% от общего размера библиотечного фонда.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удаленных лицензионных ресурсов должен включать: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 менее одной универсальной базы данных книжных изданий и базы данных периодических изданий;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не менее одной базы данных изданий следующих видов: научных и учебных изданий, диссертаций и авторефератов диссертаций, нормативно-технических документов, изданий современной художественной литературы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аудиоформатах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 менее одной справочно-правовой системы.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3% - периодические издания.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Точки доступа к НЭБ, Президентской библиотеке.</w:t>
            </w:r>
          </w:p>
        </w:tc>
        <w:tc>
          <w:tcPr>
            <w:tcW w:w="226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3,8% от объёма годовой книговыдачи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3,8% от объема годовой книговыдачи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874" w:rsidTr="009A4874">
        <w:trPr>
          <w:trHeight w:val="322"/>
        </w:trPr>
        <w:tc>
          <w:tcPr>
            <w:tcW w:w="2410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2552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2,5 книг на 1 жителя (до 14 лет) региона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на физических (материальных) носителях должны составлять не менее 80 % от общего объема фонда. Ядро фонда – 40% от общего размера библиотечного фонда.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Художественная литература должна составлять не менее 50%.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10%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фонда должно быть справочными изданиями. Не менее 3% - периодические издания.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удаленных лицензионных ресурсов должен включать: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 менее одной универсальной базы данных книжных изданий и базы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данных периодических изданий;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 менее одной базы данных учебных изданий;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 менее одной справочно-правовой системы.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Точки доступа к НЭБ, Президентской библиотеке, НЭДБ.</w:t>
            </w:r>
          </w:p>
        </w:tc>
        <w:tc>
          <w:tcPr>
            <w:tcW w:w="226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3,8% от объёма годовой книговыдачи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3,8% от объема годовой книговыдачи</w:t>
            </w:r>
          </w:p>
          <w:p w:rsidR="009A4874" w:rsidRDefault="009A4874" w:rsidP="009A4874"/>
        </w:tc>
      </w:tr>
      <w:tr w:rsidR="009A4874" w:rsidTr="009A4874">
        <w:trPr>
          <w:trHeight w:val="1951"/>
        </w:trPr>
        <w:tc>
          <w:tcPr>
            <w:tcW w:w="2410" w:type="dxa"/>
            <w:tcBorders>
              <w:bottom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библиотека,   Центральная библиотека муниципального района, муниципального/городского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4 книг на 1 жителя районного центра и дополнительно от 0,14 до 0,5 книг на 1 жителя муниципального района (округа)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Ядро фонда - не менее 40% от общего объема фонда.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литературы для детей и юношества – не менее 30%.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Фонд справочных изданий – 10%.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Книги, изданные за последние 5 лет - 40% фонда.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3% - периодические издания.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точек доступа к НЭБ, НЭДБ, Президентской библиотеке.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3,8% от прогнозируемой книговыдачи или 2 -4 % от нормативной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книгоообеспеченности</w:t>
            </w:r>
            <w:proofErr w:type="spell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3,8% от объема годовой книговыдачи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874" w:rsidTr="009A4874">
        <w:trPr>
          <w:trHeight w:val="2405"/>
        </w:trPr>
        <w:tc>
          <w:tcPr>
            <w:tcW w:w="2410" w:type="dxa"/>
            <w:tcBorders>
              <w:top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3 книг на 1 жителя в районе обслуживания и дополнительно по 0,1 книги на 1 жителя города для центральной городской библиотеки /центральной библиотеки городского округа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Ядро фонда - не менее 40% от общего объема фонда.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литературы для детей и юношества – не менее 30%.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Фонд справочных изданий – 10%.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Книги, изданные за последние 5 лет - 40% фонда.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3% - периодические издания.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точек доступа к НЭБ, НЭДБ, Президентской библиотеке.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3,8% от прогнозируемой книговыдачи или 2 -4 % от нормативной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книгоообеспеченности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3,8% от объема годовой книговыдачи</w:t>
            </w:r>
          </w:p>
        </w:tc>
      </w:tr>
      <w:tr w:rsidR="009A4874" w:rsidTr="009A4874">
        <w:trPr>
          <w:trHeight w:val="322"/>
        </w:trPr>
        <w:tc>
          <w:tcPr>
            <w:tcW w:w="241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детская библиотека, Центральная детская библиотека муниципального района, муниципального/городского округа</w:t>
            </w:r>
          </w:p>
        </w:tc>
        <w:tc>
          <w:tcPr>
            <w:tcW w:w="255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4 книг на 1 жителя-ребенка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(до 14 лет)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районного центра и дополнительно от 0,14 до 0,5 книг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жителя (до 14 лет)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 района</w:t>
            </w:r>
          </w:p>
        </w:tc>
        <w:tc>
          <w:tcPr>
            <w:tcW w:w="652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Ядро фонда - не менее 40% от общего объема фонда.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Художественная литература должна составлять не менее 50%.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10%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фонда должно быть справочными изданиями. Не менее 1% - периодические издания.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Книги, изданные за последние 5 лет – 40% фонда.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точек доступа к НЭБ, НЭДБ, Президентской библиотеке.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3,8% от прогнозируемой книговыдачи или 2 -4 % от нормативной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книгоообеспеченности</w:t>
            </w:r>
            <w:proofErr w:type="spell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3,8% от объема годовой книговыдачи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874" w:rsidTr="009A4874">
        <w:trPr>
          <w:trHeight w:val="322"/>
        </w:trPr>
        <w:tc>
          <w:tcPr>
            <w:tcW w:w="241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Центральная городская детская библиотека</w:t>
            </w:r>
          </w:p>
        </w:tc>
        <w:tc>
          <w:tcPr>
            <w:tcW w:w="255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7 книг на 1 жителя-ребенка (до 14 лет) территории обслуживания</w:t>
            </w:r>
          </w:p>
        </w:tc>
        <w:tc>
          <w:tcPr>
            <w:tcW w:w="652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Ядро фонда - не менее 40% от общего объема фонда.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Художественная литература должна составлять не менее 50%.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10% фонда должно быть справочными изданиями. Не менее 1% - периодические издания.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Книги, изданные за последние 5 лет – 40% фонда.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точек доступа к НЭБ, НЭДБ, Президентской библиотеке.</w:t>
            </w:r>
          </w:p>
        </w:tc>
        <w:tc>
          <w:tcPr>
            <w:tcW w:w="226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3,8% от прогнозируемой книговыдачи или 2 -4 % от нормативной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книгоообеспеченности</w:t>
            </w:r>
            <w:proofErr w:type="spellEnd"/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3,8% от объема годовой книговыдачи</w:t>
            </w:r>
          </w:p>
        </w:tc>
      </w:tr>
      <w:tr w:rsidR="009A4874" w:rsidTr="009A4874">
        <w:trPr>
          <w:trHeight w:val="322"/>
        </w:trPr>
        <w:tc>
          <w:tcPr>
            <w:tcW w:w="241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Городская /поселковая библиотека</w:t>
            </w:r>
          </w:p>
        </w:tc>
        <w:tc>
          <w:tcPr>
            <w:tcW w:w="255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5-7 книг на 1 жителя территории обслуживания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Ядро фонда составляет 50% от общего объема. Объем литературы для детей и юношества – не менее 30%.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Книги, поступившие за последние 5 лет – 40%.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2% - периодические издания.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Точки доступа к НЭБ, НЭДБ, Президентской библиотеке.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3,8% от прогнозируемой книговыдачи или 2 -4 % от нормативной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книгоообеспеченности</w:t>
            </w:r>
            <w:proofErr w:type="spellEnd"/>
          </w:p>
          <w:p w:rsidR="009A4874" w:rsidRDefault="009A4874" w:rsidP="009A4874">
            <w:pPr>
              <w:pStyle w:val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3,8 % от годовой книговыдачи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874" w:rsidTr="009A4874">
        <w:trPr>
          <w:trHeight w:val="322"/>
        </w:trPr>
        <w:tc>
          <w:tcPr>
            <w:tcW w:w="241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Городская / поселковая детская библиотека</w:t>
            </w:r>
          </w:p>
        </w:tc>
        <w:tc>
          <w:tcPr>
            <w:tcW w:w="255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5-7 книг на 1 жителя-ребенка (до 14 лет) территории обслуживания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Ядро фонда составляет 50% от общего объема.</w:t>
            </w:r>
          </w:p>
          <w:p w:rsidR="009A4874" w:rsidRDefault="009A4874" w:rsidP="009A4874">
            <w:pPr>
              <w:pStyle w:val="1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Книги, поступившие за последние 5 лет – 40%.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2% - периодические издания.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Точки доступа к НЭБ, НЭДБ, Президентской библиотеке.</w:t>
            </w:r>
          </w:p>
        </w:tc>
        <w:tc>
          <w:tcPr>
            <w:tcW w:w="226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3,8% от прогнозируемой книговыдачи или 2 -4 % от нормативной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книгоообеспеченности</w:t>
            </w:r>
            <w:proofErr w:type="spell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3,8 % от годовой книговыдачи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874" w:rsidTr="009A4874">
        <w:trPr>
          <w:trHeight w:val="322"/>
        </w:trPr>
        <w:tc>
          <w:tcPr>
            <w:tcW w:w="241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Сельская библиотека</w:t>
            </w:r>
          </w:p>
        </w:tc>
        <w:tc>
          <w:tcPr>
            <w:tcW w:w="255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7-9 книг на 1 жителя территории обслуживания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Ядро фонда составляет 60% от общего объема.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литературы для детей и юношества – не менее 30%.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Книги, поступившие за последние 5 лет – 40%.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2% - периодические издания.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Точки доступа к НЭБ, НЭДБ, Президентской библиотеке.</w:t>
            </w:r>
          </w:p>
          <w:p w:rsidR="009A4874" w:rsidRDefault="009A4874" w:rsidP="009A4874">
            <w:pPr>
              <w:pStyle w:val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3,8% от прогнозируемой книговыдачи или 2 -4 % от нормативной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книгоообеспеченности</w:t>
            </w:r>
            <w:proofErr w:type="spellEnd"/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3,8 % от годовой книговыдачи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4874" w:rsidRDefault="009A4874" w:rsidP="009A4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Default="009A4874" w:rsidP="009A48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Информационно-технологическое обеспечение </w:t>
      </w:r>
    </w:p>
    <w:p w:rsidR="009A4874" w:rsidRDefault="009A4874" w:rsidP="009A4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5163" w:type="dxa"/>
        <w:tblLayout w:type="fixed"/>
        <w:tblLook w:val="04A0" w:firstRow="1" w:lastRow="0" w:firstColumn="1" w:lastColumn="0" w:noHBand="0" w:noVBand="1"/>
      </w:tblPr>
      <w:tblGrid>
        <w:gridCol w:w="2263"/>
        <w:gridCol w:w="3260"/>
        <w:gridCol w:w="4962"/>
        <w:gridCol w:w="4678"/>
      </w:tblGrid>
      <w:tr w:rsidR="009A4874" w:rsidTr="009A4874">
        <w:trPr>
          <w:trHeight w:val="983"/>
        </w:trPr>
        <w:tc>
          <w:tcPr>
            <w:tcW w:w="2263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библиотеки</w:t>
            </w:r>
          </w:p>
        </w:tc>
        <w:tc>
          <w:tcPr>
            <w:tcW w:w="3260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компьютерного оборудования</w:t>
            </w:r>
          </w:p>
        </w:tc>
        <w:tc>
          <w:tcPr>
            <w:tcW w:w="4962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мультимедийного оборудования</w:t>
            </w:r>
          </w:p>
        </w:tc>
        <w:tc>
          <w:tcPr>
            <w:tcW w:w="4678" w:type="dxa"/>
          </w:tcPr>
          <w:p w:rsidR="009A4874" w:rsidRDefault="009A4874" w:rsidP="009A4874">
            <w:pPr>
              <w:ind w:firstLine="4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подключения к сети Интернет и его параметры,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АБИС</w:t>
            </w: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Центральная библиотека, Центральная детская библиотека</w:t>
            </w:r>
          </w:p>
        </w:tc>
        <w:tc>
          <w:tcPr>
            <w:tcW w:w="8222" w:type="dxa"/>
            <w:gridSpan w:val="2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должна располагать необходимым оборудованием, техническими средствами и программным обеспечением для следующих целей: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создания цифрового контура библиотечного обслуживания региона;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обеспечения централизованного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сбора статистической и аналитической информации от библиотек субъекта с целью формирования перспективных планов развития отрасли;</w:t>
            </w:r>
          </w:p>
          <w:p w:rsidR="009A4874" w:rsidRDefault="009A4874" w:rsidP="009A4874">
            <w:pPr>
              <w:pStyle w:val="12"/>
              <w:spacing w:after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организации библиотечно-информационного обслуживания пользователей, в том числе, </w:t>
            </w:r>
          </w:p>
          <w:p w:rsidR="009A4874" w:rsidRDefault="009A4874" w:rsidP="009A4874">
            <w:pPr>
              <w:pStyle w:val="12"/>
              <w:spacing w:after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доступа пользователей к электронным ресурсам;</w:t>
            </w:r>
          </w:p>
          <w:p w:rsidR="009A4874" w:rsidRDefault="009A4874" w:rsidP="009A4874">
            <w:pPr>
              <w:pStyle w:val="12"/>
              <w:spacing w:after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организации культурно-просветительской деятельности;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автоматизации библиотечных процессов, 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создания электронных библиотечных каталогов и баз данных и организации доступа к ним пользователей, в том числе удаленных.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и программное обеспечение информационных систем должны обновляться в соответствии с требованиями обновления информационных и телекоммуникационных технологий - не реже одного раза в пять лет (не менее чем на 25 % в год).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Каждое рабочее место библиотекаря должно быть автоматизировано.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20 посадочных мест для пользователей.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 рабочей станции для оказания информационных услуг.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локальной сети.</w:t>
            </w:r>
          </w:p>
        </w:tc>
        <w:tc>
          <w:tcPr>
            <w:tcW w:w="467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Широкополосный интернет скорость 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/сек.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Автоматизированная библиотечно-информационная система, позволяющая автоматизировать все основные библиотечные процессы, связанные с комплектованием и учетом документов библиотечного фонда, обработкой новых поступлений документов и ведением библиотечных каталогов, регистрацией пользователей, организацией и учетом выдачи фондов, и программно-аппаратный комплекс на основе RFID-технологий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штрих-кодирования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Автоматизированная система должна иметь модули, позволяющие обеспечить доступ пользователей к электронному каталогу для поиска и заказа документов в локальном и удаленном режимах.</w:t>
            </w: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библиотека, Центральная библиотека муниципального района, муниципального/городского округа;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Центральная городская библиотека</w:t>
            </w:r>
          </w:p>
        </w:tc>
        <w:tc>
          <w:tcPr>
            <w:tcW w:w="326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менее 10 компьютеров, подключенных к МФУ, объединенных в локальную сеть с доступом к сети Интернет;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3 МФУ;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сканер для работы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документами личного происхождения и создания электронных библиотек;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сервер для создания и хранения электронного каталога и электронных библиотек.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Оборудование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RFID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электронной книговыдачи.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парка компьютерного оборудования и программного обеспечения производится не реже 1 раза в пять лет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менее 1 проектора с экраном.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одной телевизионной панели в каждом отделе, ведущем просветительскую деятельность.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Акустическая система.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Микшерный пульт.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двух радиомикрофонов,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видеооборудование для ведения прямых трансляций мероприятий в интернете.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Широкополосный интернет скорость не менее100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/сек.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Автоматизированная библиотечно-информационная система, позволяющая автоматизировать все основные библиотечные процессы, связанные с комплектованием и учетом документов библиотечного фонда, обработкой новых поступлений документов и ведением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библиотечных каталогов, регистрацией пользователей, организацией и учетом выдачи фондов на основе RFID-технологий.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детская библиотека, Центральная детская библиотека муниципального района, муниципального/городского округа, Центральная городская детская библиотека</w:t>
            </w:r>
          </w:p>
        </w:tc>
        <w:tc>
          <w:tcPr>
            <w:tcW w:w="326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персональных компьютеров, объединенных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локальную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компьютерную сеть,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принтеров, 1 сканера, 2 ксероксов, 1 модема для подключения к сети Интернет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парка компьютерного оборудования и программного обеспечения производится не реже 1раза в 5 лет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 проектора с экраном.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одной телевизионной панели в каждом отделе, ведущем просветительскую деятельность.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Акустическая система.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Микшерный пульт.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двух радиомикрофонов,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Видеооборудование для ведения прямых трансляций мероприятий в интернете.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Широкополосный интернет скорость не менее 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/сек.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Автоматизированная библиотечно-информационная система, позволяющая автоматизировать все основные библиотечные процессы, связанные с комплектованием и учетом документов библиотечного фонда, обработкой новых поступлений документов и ведением библиотечных каталогов, регистрацией пользователей, организацией и учетом выдачи фондов на основе RFID-технологий.</w:t>
            </w: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Городская / поселковая детская библиотека</w:t>
            </w:r>
          </w:p>
        </w:tc>
        <w:tc>
          <w:tcPr>
            <w:tcW w:w="326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2 персональных компьютеров, объединенных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локальную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компьютерную сеть, 1 принтера, 1 сканера, 1 ксерокса, 1 модема для подключения к сети Интернет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 компьютерной и техники и программного обеспечения – не реже 1 раза  в пять лет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Проектор с экраном или плазменная панель 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телевизор, акустическая система с микшерским пультом и двумя радиомикрофонами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Широкополосный интернет со скоростью не менее 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\сек.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автоматизированной библиотечной информационной системы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обеспечить электронную книговыдачу.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Сельская библиотека</w:t>
            </w:r>
          </w:p>
        </w:tc>
        <w:tc>
          <w:tcPr>
            <w:tcW w:w="3260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2 компьютеров, подключенных к МФУ,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доступом к сети Интернет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менее 1 МФУ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оборудование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 компьютерной и техники и программного обеспечения – не реже 1 раза  в пять лет</w:t>
            </w:r>
          </w:p>
        </w:tc>
        <w:tc>
          <w:tcPr>
            <w:tcW w:w="4962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проектор с экраном 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телевизионна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панель,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акустическая система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Широкополосный интернет со скоростью не менее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автоматизированной библиотечной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информационной системы, позволяющей обеспечить электронную книговыдачу.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4874" w:rsidRDefault="009A4874" w:rsidP="009A48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:rsidR="009A4874" w:rsidRDefault="009A4874" w:rsidP="009A48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и кадровое обеспечение</w:t>
      </w:r>
    </w:p>
    <w:p w:rsidR="009A4874" w:rsidRDefault="009A4874" w:rsidP="009A4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8"/>
        <w:tblW w:w="15162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5528"/>
        <w:gridCol w:w="3118"/>
        <w:gridCol w:w="1559"/>
      </w:tblGrid>
      <w:tr w:rsidR="009A4874" w:rsidTr="009A4874">
        <w:trPr>
          <w:trHeight w:val="983"/>
        </w:trPr>
        <w:tc>
          <w:tcPr>
            <w:tcW w:w="2263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библиотеки</w:t>
            </w:r>
          </w:p>
        </w:tc>
        <w:tc>
          <w:tcPr>
            <w:tcW w:w="2694" w:type="dxa"/>
          </w:tcPr>
          <w:p w:rsidR="009A4874" w:rsidRDefault="009A4874" w:rsidP="009A4874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специализированного транспорта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библиобус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Размеры площадей библиотеки</w:t>
            </w:r>
          </w:p>
        </w:tc>
        <w:tc>
          <w:tcPr>
            <w:tcW w:w="3118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Нормативы штатной численности</w:t>
            </w:r>
          </w:p>
        </w:tc>
        <w:tc>
          <w:tcPr>
            <w:tcW w:w="1559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оборудования для лиц с ОВЗ</w:t>
            </w: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Центральная библиотека</w:t>
            </w:r>
          </w:p>
        </w:tc>
        <w:tc>
          <w:tcPr>
            <w:tcW w:w="2694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 единицы.</w:t>
            </w:r>
          </w:p>
          <w:p w:rsidR="009A4874" w:rsidRDefault="009A4874" w:rsidP="009A4874">
            <w:pPr>
              <w:pStyle w:val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Комплектность: беспроводной доступ к сети Интернет-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компьютеризированных рабочих места на базе ноутбуков, оснащенных веб-камерами и модулями беспроводной связи; телевизионная панель (проектор) микшерный пульт, микрофоны, акустическая система.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обеспечения свободного пространства для пользователей / посетителей библиотеки: 15–20 % от общей площади помещений.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размещения фонда открытого доступа - из расчета не менее 4,5 кв. м на 1000 томов.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Размеры площадей для хранения библиотечного фонда -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 кв. м на 1000 томов.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читального зала - не менее 2,4 кв. м на одно читательское место.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кафедр приема и выдачи литературы - из расчета 4,5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кафедру.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размещения автоматизированных рабочих мест из расчета не менее 6,0 кв. м на 1 пользователя.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посадочных мест в библиотеке определяется из расчета 2,5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одно место.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размещения выставок площадь помещения требует увеличения до 10 %.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Служебные помещения - 20% от площади, предназначенной для обслуживания пользователей.</w:t>
            </w:r>
          </w:p>
        </w:tc>
        <w:tc>
          <w:tcPr>
            <w:tcW w:w="311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Штатная численность работников библиотеки определяется в зависимости от количества пользователей и объемов книговыдачи в соответствии с Приказом Министерства культуры Российской Федерации №906 от 01.09.2011 г.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Административно-управленческий персонал -20% штатной численности.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Основной персонал – не менее 60% штатной численности.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Обслуживающий персонал – не более 20% штатной численности.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 с СП 59.13330.2020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2694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 единицы.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Комплектность: беспроводной доступ к сети Интернет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gramEnd"/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компьютеризированных рабочих места на базе ноутбуков, оснащенных веб-камерами и модулями беспроводной связи; телевизионная панель (проектор) микшерный пульт; микрофоны; акустическая система.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обеспечения свободного пространства для пользователей / посетителей библиотеки: 15-20 % от общей площади помещений.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размещения фонда открытого доступа - из расчета не менее 5,5 кв. м на 1000 томов.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Размеры площадей для хранения библиотечного фонда -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1000 томов.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Площадь читального зала не менее 2,4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одно читательское место.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кафедр приема и выдачи литературы - из расчета 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1 кафедру.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размещения автоматизированных рабочих мест из расчета не менее 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1 пользователя.</w:t>
            </w:r>
          </w:p>
          <w:p w:rsidR="009A4874" w:rsidRDefault="009A4874" w:rsidP="009A4874">
            <w:pPr>
              <w:pStyle w:val="12"/>
              <w:spacing w:after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Число посадочных мест в библиотеке определяется из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расчета 2,5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одно место.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размещения выставок площадь помещения требует увеличения до 10 %.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Служебные помещения - 20% от площади, предназначенной для обслуживания пользователей.</w:t>
            </w:r>
          </w:p>
        </w:tc>
        <w:tc>
          <w:tcPr>
            <w:tcW w:w="311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Штатная численность работников библиотеки определяется в зависимости от количества пользователей и объемов книговыдачи в соответствии с Приказом Министерства культуры Российской Федерации №906 от 01.09.2011.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 управленческий персонал -20%  штатной численности.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Основной персонал - не менее 60% штатной численности.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Обслуживающий персонал - 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более 20% штатной численности.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соответствии  с СП 59.13330.2020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библиотека, Центральная библиотека муниципального района, муниципального/городского округа, Центральная городская библиотека</w:t>
            </w:r>
          </w:p>
        </w:tc>
        <w:tc>
          <w:tcPr>
            <w:tcW w:w="2694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единицы.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Комплектность: беспроводной доступ к сети Интернет 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gramEnd"/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компьютеризированное рабочее место на базе ноутбуков, оснащенных веб-камерами и модулями беспроводной связи; телевизионная панель (проектор); микшерный пульт; микрофоны; акустическая система.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размещения фонда открытого доступа - из расчета не менее 4,5 кв. м на 1000 томов.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закрытого хранения - 2,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1000 томов.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кафедр приема и выдачи литературы - из расчета 4,5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кафедру.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Пространство для проведения мероприятий - не менее 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посадочного места - 2.5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 - не менее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Служебные помещения - 20% от площади, предназначенной для обслуживания пользователей.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Минимальная нормативная потребность в штатных работниках определяется исходя из необходимости обеспечения основных библиотечных процессов: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комплектование, обработка документов - из расчета 1 человек на 1000 экз.;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8"/>
              </w:rPr>
              <w:alias w:val=""/>
              <w:tag w:val="goog_rdk_1"/>
              <w:id w:val="1214619305"/>
            </w:sdtPr>
            <w:sdtContent>
              <w:p w:rsidR="009A4874" w:rsidRDefault="009A4874" w:rsidP="009A4874">
                <w:pPr>
                  <w:pStyle w:val="12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организация фонда – из расчета 1,2 человека на 60 тыс. экз.;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8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8"/>
                    </w:rPr>
                    <w:alias w:val=""/>
                    <w:tag w:val="goog_rdk_2"/>
                    <w:id w:val="382995492"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обслуживание пользователей – из расчета 3 - 3,5 человека на 1000 жителей или</w:t>
                    </w:r>
                  </w:sdtContent>
                </w:sdt>
              </w:p>
            </w:sdtContent>
          </w:sdt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исходя из нагрузки по количеству посещений на одного библиотекаря в год,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равной 4000 человек (норматив нагрузки по числу посещений распространяется только на библиотекарей, непосредственно занятых на обслуживании);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8"/>
                </w:rPr>
                <w:alias w:val=""/>
                <w:tag w:val="goog_rdk_3"/>
                <w:id w:val="220797274"/>
              </w:sdtPr>
              <w:sdtContent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справочно-библиографическая и информационная деятельность – из расчета</w:t>
                </w:r>
              </w:sdtContent>
            </w:sdt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 человека на 1000 жителей;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методическая деятельность - 1 человек на 13 библиотек в составе муниципального района (муниципального округа), но не менее 1 человека на одну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библиотеку/ центральную библиотеку муниципального /городского округа</w:t>
            </w:r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 с СП 59.13330.2020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детская библиотека, Центральная детская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библиотека муниципального района, муниципального/городского округа, Центральная городская детская библиотека</w:t>
            </w:r>
          </w:p>
        </w:tc>
        <w:tc>
          <w:tcPr>
            <w:tcW w:w="2694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52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размещения фонда открытого доступа - из расчета не менее 4,5 кв. м на 1000 томов.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закрытого хранения –2,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на 1000 томов.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Для кафедр приема и выдачи литературы — из расчета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кафедру.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Пространство для проведения мероприятий – не менее 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посадочного места - 2.5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 - не менее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Служебные помещения - 20% от площади, предназначенной для обслуживания пользователей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Минимальная нормативная потребность в штатных работниках определяется исходя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 необходимости обеспечения основных библиотечных процессов: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комплектование, обработка документов – из расчета 1 человек на 1000 экз.;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8"/>
                </w:rPr>
                <w:alias w:val=""/>
                <w:tag w:val="goog_rdk_1"/>
                <w:id w:val="-583078666"/>
              </w:sdtPr>
              <w:sdtContent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организация фонда – из расчета 1,2 человека на 60 тыс. экз.;</w:t>
                </w:r>
              </w:sdtContent>
            </w:sdt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8"/>
                </w:rPr>
                <w:alias w:val=""/>
                <w:tag w:val="goog_rdk_2"/>
                <w:id w:val="-60257358"/>
              </w:sdtPr>
              <w:sdtContent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обслуживание пользователей – из расчета 3 – 3,5 человека на 1000 жителей или</w:t>
                </w:r>
              </w:sdtContent>
            </w:sdt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исходя из нагрузки по количеству посещений на одного библиотекаря в год,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равной 4000 человек (норматив нагрузки по числу посещений распространяется только на библиотекарей, непосредственно занятых на обслуживании);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8"/>
                </w:rPr>
                <w:alias w:val=""/>
                <w:tag w:val="goog_rdk_3"/>
                <w:id w:val="-1660451949"/>
              </w:sdtPr>
              <w:sdtContent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справочно-библиографическая и информационная деятельность – из расчета</w:t>
                </w:r>
              </w:sdtContent>
            </w:sdt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 человека на 1000 жителей;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методическая деятельность - 1 человек на 13 библиотек в составе муниципального района (муниципального округа), но не менее 1 человека на одну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библиотеку/ центральную библиотеку муниципального /городского округа.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Штатное расписание на отделе обслуживания рассчитывается из 1 сотрудник на 750 пользователей.</w:t>
            </w:r>
          </w:p>
        </w:tc>
        <w:tc>
          <w:tcPr>
            <w:tcW w:w="1559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соответствии  с СП 59.13330.2020</w:t>
            </w:r>
          </w:p>
          <w:p w:rsidR="009A4874" w:rsidRDefault="009A4874" w:rsidP="009A48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Городская / поселковая  библиотека</w:t>
            </w:r>
          </w:p>
        </w:tc>
        <w:tc>
          <w:tcPr>
            <w:tcW w:w="2694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2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размещения фонда открытого доступа - из расчета не менее 4,5 кв. м на 1000 томов.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закрытого хранения - 2,5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1000 томов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кафедр приема и выдачи литературы - из расчета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 кв. м на 1 кафедру.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Пространство для проведения мероприятий – не менее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Площадь посадочного места -2,5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 - не менее 10.</w:t>
            </w:r>
          </w:p>
        </w:tc>
        <w:tc>
          <w:tcPr>
            <w:tcW w:w="311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сотрудник на 750 пользователей при охвате населения не менее 37%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 с СП 59.13330.2020</w:t>
            </w: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Городская / поселковая детская библиотека</w:t>
            </w:r>
          </w:p>
        </w:tc>
        <w:tc>
          <w:tcPr>
            <w:tcW w:w="2694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2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размещения фонда открытого доступа - из расчета не менее 4,5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1000 томов. Площадь закрытого хранения –2,5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1000 томов.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кафедр приема и выдачи литературы - из расчета 4,5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кафедру.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Пространство для проведения мероприятий – не менее 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посадочного места -2,5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 - не менее 10.</w:t>
            </w:r>
          </w:p>
        </w:tc>
        <w:tc>
          <w:tcPr>
            <w:tcW w:w="311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сотрудник на 750 пользователей при охвате населения не менее 37%</w:t>
            </w:r>
          </w:p>
        </w:tc>
        <w:tc>
          <w:tcPr>
            <w:tcW w:w="1559" w:type="dxa"/>
          </w:tcPr>
          <w:p w:rsidR="009A4874" w:rsidRDefault="009A4874" w:rsidP="009A48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 с СП 59.13330.2020</w:t>
            </w:r>
          </w:p>
        </w:tc>
      </w:tr>
      <w:tr w:rsidR="009A4874" w:rsidTr="009A4874">
        <w:trPr>
          <w:trHeight w:val="322"/>
        </w:trPr>
        <w:tc>
          <w:tcPr>
            <w:tcW w:w="2263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Сельская библиотека</w:t>
            </w:r>
          </w:p>
        </w:tc>
        <w:tc>
          <w:tcPr>
            <w:tcW w:w="2694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2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размещения фонда открытого доступа - из расчета не менее 4,5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1000 томов.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кафедр приема и выдачи литературы - из расчета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кафедру.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Пространство для проведения мероприятий – не менее 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посадочных мест (не менее 5) определяется исходя из норматива 1,5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на 100 жителей</w:t>
            </w:r>
          </w:p>
        </w:tc>
        <w:tc>
          <w:tcPr>
            <w:tcW w:w="3118" w:type="dxa"/>
          </w:tcPr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сотрудник от 200 пользователей территории обслуживания при охвате населения не менее 37%</w:t>
            </w:r>
          </w:p>
          <w:p w:rsidR="009A4874" w:rsidRDefault="009A4874" w:rsidP="009A4874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 с СП 59.13330.2020</w:t>
            </w:r>
          </w:p>
          <w:p w:rsidR="009A4874" w:rsidRDefault="009A4874" w:rsidP="009A48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A4874" w:rsidRDefault="009A4874" w:rsidP="009A4874">
      <w:pPr>
        <w:spacing w:after="24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Обеспеченность населения Ленинградской области библиотеками для инвалидов по зрению осуществляется на базе существующих библиотек всех видов, расположенных на территории Ленинградской области.</w:t>
      </w:r>
    </w:p>
    <w:p w:rsidR="009A4874" w:rsidRDefault="009A4874" w:rsidP="009A4874">
      <w:pPr>
        <w:pStyle w:val="1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9A4874" w:rsidRDefault="009A4874" w:rsidP="009A4874">
      <w:pPr>
        <w:pStyle w:val="13"/>
        <w:ind w:firstLine="72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/>
        </w:rPr>
        <w:t>III.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Индикаторами эффективности и качества библиотечных услуг являются показатели:</w:t>
      </w:r>
    </w:p>
    <w:p w:rsidR="009A4874" w:rsidRDefault="009A4874" w:rsidP="009A4874">
      <w:pPr>
        <w:pStyle w:val="13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 охват населения библиотечным обслуживанием;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 количество посещений;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количество посещений в расчете на одного пользователя (посещаемость);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количество выданных документов (книговыдача);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читаемость;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интенсивность использования книжного фонда (обращаемость);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объем списания библиотечного фонда;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соотношение отказов к общему количеству запросов;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наличие сайта;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наличие аккаунта в социальных сетях;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наличие собственных электронных библиотек и баз данных;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наличие подписки на удаленные полнотекстовые ресурсы;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 - объем детских книг относительно общего объема фонда;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уровень автоматизации библиотечных процессов (наличие АБИС);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процент отражения библиотечного фонда в электронном каталоге;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удовлетворение информационных запросов пользователей с использованием удаленных баз данных;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наличие внутренних нормативных и актов, регламентирующих работу библиотеки.</w:t>
      </w:r>
    </w:p>
    <w:p w:rsidR="009A4874" w:rsidRDefault="009A4874" w:rsidP="009A4874">
      <w:pPr>
        <w:pStyle w:val="13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9A4874" w:rsidRDefault="009A4874" w:rsidP="009A4874">
      <w:pPr>
        <w:pStyle w:val="13"/>
        <w:ind w:firstLine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IV. З</w:t>
      </w:r>
      <w:r>
        <w:rPr>
          <w:b/>
          <w:bCs/>
          <w:sz w:val="28"/>
          <w:szCs w:val="28"/>
          <w:lang w:eastAsia="ru-RU"/>
        </w:rPr>
        <w:t xml:space="preserve">аконодательная и нормативная база </w:t>
      </w:r>
    </w:p>
    <w:p w:rsidR="009A4874" w:rsidRDefault="009A4874" w:rsidP="009A4874">
      <w:pPr>
        <w:pStyle w:val="13"/>
        <w:ind w:firstLine="0"/>
        <w:jc w:val="center"/>
        <w:rPr>
          <w:b/>
          <w:bCs/>
          <w:sz w:val="28"/>
          <w:szCs w:val="28"/>
          <w:lang w:eastAsia="ru-RU"/>
        </w:rPr>
      </w:pP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9 мая 2017 года №203 «О Стратегии развития информационного общества Российской Федерации на 2017-2030 годы».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Российской Федерации от 9 октября 1992 года № 3612-1 «Основы законодательства Российской Федерации о культуре».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 декабря 1994 года №78-ФЗ «О библиотечном деле».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1994 года № 77-ФЗ «Об обязательном экземпляре документов».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6 октября 2006 года №131-ФЗ «Об общих принципах организации местного самоуправления в Российской Федерации».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Федеральный закон от 20 марта 2025 года №33-ФЗ «Об общих принципах организации местного самоуправления в единой системе публичной власти».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Российской Федерации от 13 марта 2021 года № 608-р «Об утверждении Стратегии развития библиотечного дела в Российской Федерации на период до 2030 года».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Областной закон Ленинградской области от 3 июля 2009 №61-оз «Об организации библиотечного обслуживания населения Ленинградской области общедоступными библиотеками». 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Модельный стандарт деятельности общедоступной библиотеки, утвержденный Министром культуры Российской Федерации 31 октября 2014 года.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Министерства культуры Российской Федерации от 18 ноября 2025 года № Р-494 «Об утверждении методических рекомендаций органам государственной власти и органам местного самоуправления о применении нормативов и норм оптимального размещения организаций и культуры и обеспеченности населения услугами организаций культуры».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14 сентября  2022 года № 527-н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</w:t>
      </w:r>
      <w:r>
        <w:rPr>
          <w:rFonts w:ascii="Times New Roman" w:hAnsi="Times New Roman" w:cs="Times New Roman"/>
          <w:bCs/>
          <w:sz w:val="28"/>
          <w:szCs w:val="28"/>
          <w:highlight w:val="white"/>
          <w:shd w:val="clear" w:color="auto" w:fill="FFFFFF"/>
        </w:rPr>
        <w:t>тверждении </w:t>
      </w:r>
      <w:hyperlink r:id="rId9" w:anchor="6540IN" w:tooltip="https://docs.cntd.ru/document/352000919#6540IN" w:history="1">
        <w:r>
          <w:rPr>
            <w:rStyle w:val="af9"/>
            <w:rFonts w:ascii="Times New Roman" w:hAnsi="Times New Roman" w:cs="Times New Roman"/>
            <w:bCs/>
            <w:sz w:val="28"/>
            <w:szCs w:val="28"/>
            <w:highlight w:val="white"/>
            <w:shd w:val="clear" w:color="auto" w:fill="FFFFFF"/>
          </w:rPr>
          <w:t>профессионального стандарта «Специалист по библиотечно-информационной деятельности»</w:t>
        </w:r>
      </w:hyperlink>
      <w:r>
        <w:rPr>
          <w:highlight w:val="white"/>
        </w:rPr>
        <w:t>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Приказ Министерства культуры Российской Федерации от 30 декабря 2014 года № 2477 «Об утверждении типовых отраслевых норм труда на работы, выполняемые в библиотеках».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Базовые нормы организации сети и ресурсного обеспечения общедоступных библиотек муниципальных образований» подготовлены по решению Совета РБА рабочей группой под руководством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Л.В.Куликовой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(Российская национальная библиотека). В разработке документа приняли участие библиотеки различного уровня. Документ принят на XII Ежегодной сессии Конференции РБА 16 мая 2007 года (г. Брянск).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Модельный стандарт деятельности публичной библиотеки (принят Конференцией Российской библиотечной ассоциации, XIII Ежегодной сессией, 22 мая 2008 г.).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Министерства культуры Российской Федерации России от 1 сентября 2011 года №906 «О нормативах штатной численности работников государственных и муниципальных учреждений культурно-досугового типа и библиотек».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инистерства строительства и жилищно-коммунального хозяйства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 19 мая 2022 года №389/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«Об утверждении СП 118.13330.2022. СНИП 31-06-2009 ОБЩЕСТВЕННЫЕ ЗДАНИЯ И СООРУЖЕНИЯ».</w:t>
      </w:r>
    </w:p>
    <w:p w:rsidR="009A4874" w:rsidRDefault="009A4874" w:rsidP="009A487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инистерства строительства и жилищно-коммунального хозяйства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2020 года №904/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</w:rPr>
        <w:t>б утверждении СП 59.13330.2020 «СНИП 35-01-2001 Доступность зданий и сооружений для маломобильных групп населения».</w:t>
      </w:r>
    </w:p>
    <w:p w:rsidR="009A4874" w:rsidRDefault="009A4874" w:rsidP="009A48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4874" w:rsidRDefault="009A487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A4874" w:rsidSect="00E032B0">
      <w:pgSz w:w="16838" w:h="11905" w:orient="landscape"/>
      <w:pgMar w:top="1134" w:right="1134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74" w:rsidRDefault="009A4874">
      <w:pPr>
        <w:spacing w:after="0" w:line="240" w:lineRule="auto"/>
      </w:pPr>
      <w:r>
        <w:separator/>
      </w:r>
    </w:p>
  </w:endnote>
  <w:endnote w:type="continuationSeparator" w:id="0">
    <w:p w:rsidR="009A4874" w:rsidRDefault="009A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74" w:rsidRDefault="009A4874">
      <w:pPr>
        <w:spacing w:after="0" w:line="240" w:lineRule="auto"/>
      </w:pPr>
      <w:r>
        <w:separator/>
      </w:r>
    </w:p>
  </w:footnote>
  <w:footnote w:type="continuationSeparator" w:id="0">
    <w:p w:rsidR="009A4874" w:rsidRDefault="009A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0E97"/>
    <w:multiLevelType w:val="hybridMultilevel"/>
    <w:tmpl w:val="E63626AE"/>
    <w:lvl w:ilvl="0" w:tplc="5F9A1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6A0248">
      <w:start w:val="1"/>
      <w:numFmt w:val="lowerLetter"/>
      <w:lvlText w:val="%2."/>
      <w:lvlJc w:val="left"/>
      <w:pPr>
        <w:ind w:left="1440" w:hanging="360"/>
      </w:pPr>
    </w:lvl>
    <w:lvl w:ilvl="2" w:tplc="F82097F0">
      <w:start w:val="1"/>
      <w:numFmt w:val="lowerRoman"/>
      <w:lvlText w:val="%3."/>
      <w:lvlJc w:val="right"/>
      <w:pPr>
        <w:ind w:left="2160" w:hanging="180"/>
      </w:pPr>
    </w:lvl>
    <w:lvl w:ilvl="3" w:tplc="5DF6FB40">
      <w:start w:val="1"/>
      <w:numFmt w:val="decimal"/>
      <w:lvlText w:val="%4."/>
      <w:lvlJc w:val="left"/>
      <w:pPr>
        <w:ind w:left="2880" w:hanging="360"/>
      </w:pPr>
    </w:lvl>
    <w:lvl w:ilvl="4" w:tplc="7B5E44D2">
      <w:start w:val="1"/>
      <w:numFmt w:val="lowerLetter"/>
      <w:lvlText w:val="%5."/>
      <w:lvlJc w:val="left"/>
      <w:pPr>
        <w:ind w:left="3600" w:hanging="360"/>
      </w:pPr>
    </w:lvl>
    <w:lvl w:ilvl="5" w:tplc="86ECA8DE">
      <w:start w:val="1"/>
      <w:numFmt w:val="lowerRoman"/>
      <w:lvlText w:val="%6."/>
      <w:lvlJc w:val="right"/>
      <w:pPr>
        <w:ind w:left="4320" w:hanging="180"/>
      </w:pPr>
    </w:lvl>
    <w:lvl w:ilvl="6" w:tplc="EF5EA4FA">
      <w:start w:val="1"/>
      <w:numFmt w:val="decimal"/>
      <w:lvlText w:val="%7."/>
      <w:lvlJc w:val="left"/>
      <w:pPr>
        <w:ind w:left="5040" w:hanging="360"/>
      </w:pPr>
    </w:lvl>
    <w:lvl w:ilvl="7" w:tplc="77E649AA">
      <w:start w:val="1"/>
      <w:numFmt w:val="lowerLetter"/>
      <w:lvlText w:val="%8."/>
      <w:lvlJc w:val="left"/>
      <w:pPr>
        <w:ind w:left="5760" w:hanging="360"/>
      </w:pPr>
    </w:lvl>
    <w:lvl w:ilvl="8" w:tplc="762E5F3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536C2"/>
    <w:multiLevelType w:val="hybridMultilevel"/>
    <w:tmpl w:val="CE82DEA4"/>
    <w:lvl w:ilvl="0" w:tplc="C8948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6663548">
      <w:start w:val="1"/>
      <w:numFmt w:val="lowerLetter"/>
      <w:lvlText w:val="%2."/>
      <w:lvlJc w:val="left"/>
      <w:pPr>
        <w:ind w:left="1440" w:hanging="360"/>
      </w:pPr>
    </w:lvl>
    <w:lvl w:ilvl="2" w:tplc="8FD08AE4">
      <w:start w:val="1"/>
      <w:numFmt w:val="lowerRoman"/>
      <w:lvlText w:val="%3."/>
      <w:lvlJc w:val="right"/>
      <w:pPr>
        <w:ind w:left="2160" w:hanging="180"/>
      </w:pPr>
    </w:lvl>
    <w:lvl w:ilvl="3" w:tplc="ED2E875E">
      <w:start w:val="1"/>
      <w:numFmt w:val="decimal"/>
      <w:lvlText w:val="%4."/>
      <w:lvlJc w:val="left"/>
      <w:pPr>
        <w:ind w:left="2880" w:hanging="360"/>
      </w:pPr>
    </w:lvl>
    <w:lvl w:ilvl="4" w:tplc="964C8506">
      <w:start w:val="1"/>
      <w:numFmt w:val="lowerLetter"/>
      <w:lvlText w:val="%5."/>
      <w:lvlJc w:val="left"/>
      <w:pPr>
        <w:ind w:left="3600" w:hanging="360"/>
      </w:pPr>
    </w:lvl>
    <w:lvl w:ilvl="5" w:tplc="9CF62256">
      <w:start w:val="1"/>
      <w:numFmt w:val="lowerRoman"/>
      <w:lvlText w:val="%6."/>
      <w:lvlJc w:val="right"/>
      <w:pPr>
        <w:ind w:left="4320" w:hanging="180"/>
      </w:pPr>
    </w:lvl>
    <w:lvl w:ilvl="6" w:tplc="A464F958">
      <w:start w:val="1"/>
      <w:numFmt w:val="decimal"/>
      <w:lvlText w:val="%7."/>
      <w:lvlJc w:val="left"/>
      <w:pPr>
        <w:ind w:left="5040" w:hanging="360"/>
      </w:pPr>
    </w:lvl>
    <w:lvl w:ilvl="7" w:tplc="47EA704C">
      <w:start w:val="1"/>
      <w:numFmt w:val="lowerLetter"/>
      <w:lvlText w:val="%8."/>
      <w:lvlJc w:val="left"/>
      <w:pPr>
        <w:ind w:left="5760" w:hanging="360"/>
      </w:pPr>
    </w:lvl>
    <w:lvl w:ilvl="8" w:tplc="B7388C5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05539"/>
    <w:multiLevelType w:val="hybridMultilevel"/>
    <w:tmpl w:val="6AEE922C"/>
    <w:lvl w:ilvl="0" w:tplc="16AC2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5D286BA">
      <w:start w:val="1"/>
      <w:numFmt w:val="lowerLetter"/>
      <w:lvlText w:val="%2."/>
      <w:lvlJc w:val="left"/>
      <w:pPr>
        <w:ind w:left="1620" w:hanging="360"/>
      </w:pPr>
    </w:lvl>
    <w:lvl w:ilvl="2" w:tplc="1304EE68">
      <w:start w:val="1"/>
      <w:numFmt w:val="lowerRoman"/>
      <w:lvlText w:val="%3."/>
      <w:lvlJc w:val="right"/>
      <w:pPr>
        <w:ind w:left="2340" w:hanging="180"/>
      </w:pPr>
    </w:lvl>
    <w:lvl w:ilvl="3" w:tplc="AD202272">
      <w:start w:val="1"/>
      <w:numFmt w:val="decimal"/>
      <w:lvlText w:val="%4."/>
      <w:lvlJc w:val="left"/>
      <w:pPr>
        <w:ind w:left="3060" w:hanging="360"/>
      </w:pPr>
    </w:lvl>
    <w:lvl w:ilvl="4" w:tplc="B99E6706">
      <w:start w:val="1"/>
      <w:numFmt w:val="lowerLetter"/>
      <w:lvlText w:val="%5."/>
      <w:lvlJc w:val="left"/>
      <w:pPr>
        <w:ind w:left="3780" w:hanging="360"/>
      </w:pPr>
    </w:lvl>
    <w:lvl w:ilvl="5" w:tplc="D2E06C42">
      <w:start w:val="1"/>
      <w:numFmt w:val="lowerRoman"/>
      <w:lvlText w:val="%6."/>
      <w:lvlJc w:val="right"/>
      <w:pPr>
        <w:ind w:left="4500" w:hanging="180"/>
      </w:pPr>
    </w:lvl>
    <w:lvl w:ilvl="6" w:tplc="8CECD498">
      <w:start w:val="1"/>
      <w:numFmt w:val="decimal"/>
      <w:lvlText w:val="%7."/>
      <w:lvlJc w:val="left"/>
      <w:pPr>
        <w:ind w:left="5220" w:hanging="360"/>
      </w:pPr>
    </w:lvl>
    <w:lvl w:ilvl="7" w:tplc="732CC630">
      <w:start w:val="1"/>
      <w:numFmt w:val="lowerLetter"/>
      <w:lvlText w:val="%8."/>
      <w:lvlJc w:val="left"/>
      <w:pPr>
        <w:ind w:left="5940" w:hanging="360"/>
      </w:pPr>
    </w:lvl>
    <w:lvl w:ilvl="8" w:tplc="9EAE290E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CF23C6"/>
    <w:multiLevelType w:val="hybridMultilevel"/>
    <w:tmpl w:val="47E24170"/>
    <w:lvl w:ilvl="0" w:tplc="BCD00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C3EAE">
      <w:start w:val="1"/>
      <w:numFmt w:val="lowerLetter"/>
      <w:lvlText w:val="%2."/>
      <w:lvlJc w:val="left"/>
      <w:pPr>
        <w:ind w:left="1440" w:hanging="360"/>
      </w:pPr>
    </w:lvl>
    <w:lvl w:ilvl="2" w:tplc="26640D9C">
      <w:start w:val="1"/>
      <w:numFmt w:val="lowerRoman"/>
      <w:lvlText w:val="%3."/>
      <w:lvlJc w:val="right"/>
      <w:pPr>
        <w:ind w:left="2160" w:hanging="180"/>
      </w:pPr>
    </w:lvl>
    <w:lvl w:ilvl="3" w:tplc="92B4AAE2">
      <w:start w:val="1"/>
      <w:numFmt w:val="decimal"/>
      <w:lvlText w:val="%4."/>
      <w:lvlJc w:val="left"/>
      <w:pPr>
        <w:ind w:left="2880" w:hanging="360"/>
      </w:pPr>
    </w:lvl>
    <w:lvl w:ilvl="4" w:tplc="0CB0FEC8">
      <w:start w:val="1"/>
      <w:numFmt w:val="lowerLetter"/>
      <w:lvlText w:val="%5."/>
      <w:lvlJc w:val="left"/>
      <w:pPr>
        <w:ind w:left="3600" w:hanging="360"/>
      </w:pPr>
    </w:lvl>
    <w:lvl w:ilvl="5" w:tplc="D37CBF84">
      <w:start w:val="1"/>
      <w:numFmt w:val="lowerRoman"/>
      <w:lvlText w:val="%6."/>
      <w:lvlJc w:val="right"/>
      <w:pPr>
        <w:ind w:left="4320" w:hanging="180"/>
      </w:pPr>
    </w:lvl>
    <w:lvl w:ilvl="6" w:tplc="A85C3F4E">
      <w:start w:val="1"/>
      <w:numFmt w:val="decimal"/>
      <w:lvlText w:val="%7."/>
      <w:lvlJc w:val="left"/>
      <w:pPr>
        <w:ind w:left="5040" w:hanging="360"/>
      </w:pPr>
    </w:lvl>
    <w:lvl w:ilvl="7" w:tplc="1BD03C6A">
      <w:start w:val="1"/>
      <w:numFmt w:val="lowerLetter"/>
      <w:lvlText w:val="%8."/>
      <w:lvlJc w:val="left"/>
      <w:pPr>
        <w:ind w:left="5760" w:hanging="360"/>
      </w:pPr>
    </w:lvl>
    <w:lvl w:ilvl="8" w:tplc="3760C24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40260"/>
    <w:multiLevelType w:val="hybridMultilevel"/>
    <w:tmpl w:val="B51C89CC"/>
    <w:lvl w:ilvl="0" w:tplc="EC90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9259DE">
      <w:start w:val="1"/>
      <w:numFmt w:val="lowerLetter"/>
      <w:lvlText w:val="%2."/>
      <w:lvlJc w:val="left"/>
      <w:pPr>
        <w:ind w:left="1440" w:hanging="360"/>
      </w:pPr>
    </w:lvl>
    <w:lvl w:ilvl="2" w:tplc="0ADCE3EC">
      <w:start w:val="1"/>
      <w:numFmt w:val="lowerRoman"/>
      <w:lvlText w:val="%3."/>
      <w:lvlJc w:val="right"/>
      <w:pPr>
        <w:ind w:left="2160" w:hanging="180"/>
      </w:pPr>
    </w:lvl>
    <w:lvl w:ilvl="3" w:tplc="5A3406CA">
      <w:start w:val="1"/>
      <w:numFmt w:val="decimal"/>
      <w:lvlText w:val="%4."/>
      <w:lvlJc w:val="left"/>
      <w:pPr>
        <w:ind w:left="2880" w:hanging="360"/>
      </w:pPr>
    </w:lvl>
    <w:lvl w:ilvl="4" w:tplc="EA0C5B82">
      <w:start w:val="1"/>
      <w:numFmt w:val="lowerLetter"/>
      <w:lvlText w:val="%5."/>
      <w:lvlJc w:val="left"/>
      <w:pPr>
        <w:ind w:left="3600" w:hanging="360"/>
      </w:pPr>
    </w:lvl>
    <w:lvl w:ilvl="5" w:tplc="F2869062">
      <w:start w:val="1"/>
      <w:numFmt w:val="lowerRoman"/>
      <w:lvlText w:val="%6."/>
      <w:lvlJc w:val="right"/>
      <w:pPr>
        <w:ind w:left="4320" w:hanging="180"/>
      </w:pPr>
    </w:lvl>
    <w:lvl w:ilvl="6" w:tplc="98126BD0">
      <w:start w:val="1"/>
      <w:numFmt w:val="decimal"/>
      <w:lvlText w:val="%7."/>
      <w:lvlJc w:val="left"/>
      <w:pPr>
        <w:ind w:left="5040" w:hanging="360"/>
      </w:pPr>
    </w:lvl>
    <w:lvl w:ilvl="7" w:tplc="86D64CB6">
      <w:start w:val="1"/>
      <w:numFmt w:val="lowerLetter"/>
      <w:lvlText w:val="%8."/>
      <w:lvlJc w:val="left"/>
      <w:pPr>
        <w:ind w:left="5760" w:hanging="360"/>
      </w:pPr>
    </w:lvl>
    <w:lvl w:ilvl="8" w:tplc="400449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93"/>
    <w:rsid w:val="00091493"/>
    <w:rsid w:val="001C56AF"/>
    <w:rsid w:val="00740A77"/>
    <w:rsid w:val="009A4874"/>
    <w:rsid w:val="00AB7CA0"/>
    <w:rsid w:val="00E0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12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ru-RU"/>
    </w:rPr>
  </w:style>
  <w:style w:type="paragraph" w:customStyle="1" w:styleId="13">
    <w:name w:val="Основной текст1"/>
    <w:link w:val="aff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ff1">
    <w:name w:val="Основной текст_"/>
    <w:basedOn w:val="a0"/>
    <w:link w:val="13"/>
    <w:rsid w:val="009A487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12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ru-RU"/>
    </w:rPr>
  </w:style>
  <w:style w:type="paragraph" w:customStyle="1" w:styleId="13">
    <w:name w:val="Основной текст1"/>
    <w:link w:val="aff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ff1">
    <w:name w:val="Основной текст_"/>
    <w:basedOn w:val="a0"/>
    <w:link w:val="13"/>
    <w:rsid w:val="009A48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352000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C4B7-292C-4D05-BA33-1063EC68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 Александрович</dc:creator>
  <cp:lastModifiedBy>Андрей Сергеевич Хачатрян</cp:lastModifiedBy>
  <cp:revision>4</cp:revision>
  <dcterms:created xsi:type="dcterms:W3CDTF">2026-05-28T06:31:00Z</dcterms:created>
  <dcterms:modified xsi:type="dcterms:W3CDTF">2026-05-28T07:44:00Z</dcterms:modified>
</cp:coreProperties>
</file>