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tabs>
          <w:tab w:val="right" w:pos="7655"/>
        </w:tabs>
        <w:jc w:val="center"/>
        <w:rPr>
          <w:sz w:val="28"/>
          <w:szCs w:val="28"/>
        </w:rPr>
      </w:pPr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786" cy="716517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69786" cy="716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.87pt;height:56.42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tabs>
          <w:tab w:val="right" w:pos="7655"/>
        </w:tabs>
        <w:jc w:val="center"/>
        <w:rPr>
          <w:sz w:val="28"/>
          <w:szCs w:val="28"/>
        </w:rPr>
      </w:pPr>
    </w:p>
    <w:p>
      <w:pPr>
        <w:ind w:left="567" w:right="-286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</w:p>
    <w:p>
      <w:pPr>
        <w:ind w:left="567" w:right="-286"/>
        <w:jc w:val="center"/>
        <w:rPr>
          <w:b/>
          <w:spacing w:val="30"/>
          <w:sz w:val="28"/>
          <w:szCs w:val="28"/>
          <w:lang w:eastAsia="en-US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</w:p>
    <w:p>
      <w:pPr>
        <w:pBdr>
          <w:bottom w:val="single" w:color="000000" w:sz="12" w:space="1"/>
        </w:pBdr>
        <w:ind w:left="567" w:right="-286"/>
        <w:jc w:val="center"/>
        <w:rPr>
          <w:sz w:val="2"/>
          <w:szCs w:val="28"/>
        </w:rPr>
      </w:pPr>
    </w:p>
    <w:p>
      <w:pPr>
        <w:ind w:left="567" w:right="-286"/>
        <w:jc w:val="center"/>
        <w:rPr>
          <w:b/>
          <w:spacing w:val="80"/>
          <w:sz w:val="28"/>
          <w:szCs w:val="28"/>
        </w:rPr>
      </w:pPr>
    </w:p>
    <w:p>
      <w:pPr>
        <w:ind w:left="567" w:right="-2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</w:p>
    <w:p>
      <w:pPr>
        <w:tabs>
          <w:tab w:val="right" w:pos="9356"/>
        </w:tabs>
        <w:ind w:left="567" w:right="-286"/>
        <w:jc w:val="center"/>
        <w:rPr>
          <w:sz w:val="28"/>
          <w:szCs w:val="28"/>
        </w:rPr>
      </w:pPr>
    </w:p>
    <w:p>
      <w:pPr>
        <w:tabs>
          <w:tab w:val="righ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«___»____________2026 г.                                                        №________________        Санкт-Петербург</w:t>
      </w:r>
      <w:bookmarkEnd w:id="0"/>
    </w:p>
    <w:p>
      <w:pPr>
        <w:rPr>
          <w:sz w:val="28"/>
          <w:szCs w:val="28"/>
          <w:u w:val="single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«</w:t>
      </w:r>
      <w:r>
        <w:rPr>
          <w:b/>
          <w:bCs/>
          <w:sz w:val="28"/>
          <w:szCs w:val="28"/>
        </w:rPr>
        <w:t xml:space="preserve">Здание б. мебельной фабрики М. Пиетинена», расположенн</w:t>
      </w:r>
      <w:r>
        <w:rPr>
          <w:b/>
          <w:bCs/>
          <w:sz w:val="28"/>
          <w:szCs w:val="28"/>
        </w:rPr>
        <w:t xml:space="preserve">ого</w:t>
      </w:r>
      <w:r>
        <w:rPr>
          <w:b/>
          <w:bCs/>
          <w:sz w:val="28"/>
          <w:szCs w:val="28"/>
        </w:rPr>
        <w:t xml:space="preserve"> по адресу: Ленинградская обл</w:t>
      </w:r>
      <w:r>
        <w:rPr>
          <w:b/>
          <w:bCs/>
          <w:sz w:val="28"/>
          <w:szCs w:val="28"/>
        </w:rPr>
        <w:t xml:space="preserve">асть</w:t>
      </w:r>
      <w:r>
        <w:rPr>
          <w:b/>
          <w:bCs/>
          <w:sz w:val="28"/>
          <w:szCs w:val="28"/>
        </w:rPr>
        <w:t xml:space="preserve">, г. Выборг, Ленинградский пр., д. 5</w:t>
      </w:r>
      <w:r>
        <w:rPr>
          <w:b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местного (муниципального) значения, утверждении границ территории и предмета охраны</w:t>
      </w:r>
    </w:p>
    <w:p>
      <w:pPr>
        <w:jc w:val="center"/>
        <w:rPr>
          <w:b/>
          <w:sz w:val="28"/>
          <w:szCs w:val="28"/>
        </w:rPr>
      </w:pP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 xml:space="preserve">статьями</w:t>
      </w:r>
      <w:r>
        <w:rPr>
          <w:sz w:val="28"/>
          <w:szCs w:val="28"/>
        </w:rPr>
        <w:t xml:space="preserve"> 3.1, 5.1, 9.2, 16.1, 18, 33 Федерального закона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25 июня 2002 года № 73-ФЗ 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</w:t>
      </w:r>
      <w:r>
        <w:rPr>
          <w:sz w:val="28"/>
          <w:szCs w:val="28"/>
        </w:rPr>
        <w:t xml:space="preserve">статьей</w:t>
      </w:r>
      <w:r>
        <w:rPr>
          <w:sz w:val="28"/>
          <w:szCs w:val="28"/>
        </w:rPr>
        <w:t xml:space="preserve">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государственном реестре объектов культурного наследия (памятников истории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культуры) народов Российской Федерации, утвержденным приказом Министерства культуры Российской Федерации от 3 октября 2011 года № 954, </w:t>
      </w:r>
      <w:r>
        <w:rPr>
          <w:sz w:val="28"/>
          <w:szCs w:val="28"/>
        </w:rPr>
        <w:t xml:space="preserve">подпунктами</w:t>
      </w:r>
      <w:r>
        <w:rPr>
          <w:sz w:val="28"/>
          <w:szCs w:val="28"/>
        </w:rPr>
        <w:t xml:space="preserve">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24 декабря 2020 года № 850, на основании положительного заключения государственной историко-культурной экспертизы, выполненной экспертной организацией </w:t>
      </w:r>
      <w:r>
        <w:rPr>
          <w:sz w:val="28"/>
          <w:szCs w:val="28"/>
        </w:rPr>
        <w:t xml:space="preserve">- обществом с ограниченной ответственностью </w:t>
      </w:r>
      <w:r>
        <w:rPr>
          <w:sz w:val="28"/>
          <w:szCs w:val="28"/>
        </w:rPr>
        <w:t xml:space="preserve">«С. П. Бург и партнёры»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(аттестованный эксперт </w:t>
      </w:r>
      <w:r>
        <w:rPr>
          <w:sz w:val="28"/>
          <w:szCs w:val="28"/>
        </w:rPr>
        <w:t xml:space="preserve">Зайцева </w:t>
      </w:r>
      <w:r>
        <w:rPr>
          <w:sz w:val="28"/>
          <w:szCs w:val="28"/>
        </w:rPr>
        <w:t xml:space="preserve">Д.А.</w:t>
      </w:r>
      <w:r>
        <w:rPr>
          <w:sz w:val="28"/>
          <w:szCs w:val="28"/>
        </w:rPr>
        <w:t xml:space="preserve">, приказ Министерства культуры Российской Федерации </w:t>
      </w:r>
      <w:r>
        <w:rPr>
          <w:sz w:val="28"/>
          <w:szCs w:val="28"/>
        </w:rPr>
        <w:t xml:space="preserve">от 24</w:t>
      </w:r>
      <w:r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 xml:space="preserve">2023</w:t>
      </w:r>
      <w:r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 xml:space="preserve">2483</w:t>
      </w:r>
      <w:r>
        <w:rPr>
          <w:sz w:val="28"/>
          <w:szCs w:val="28"/>
        </w:rPr>
        <w:t xml:space="preserve">),</w:t>
      </w:r>
    </w:p>
    <w:p>
      <w:pPr>
        <w:ind w:firstLine="709"/>
        <w:jc w:val="both"/>
        <w:rPr>
          <w:b/>
          <w:bCs/>
          <w:sz w:val="28"/>
          <w:szCs w:val="28"/>
        </w:rPr>
      </w:pP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приказываю:</w:t>
      </w:r>
    </w:p>
    <w:p>
      <w:pPr>
        <w:pStyle w:val="afa"/>
        <w:widowControl w:val="off"/>
        <w:numPr>
          <w:numId w:val="1"/>
          <w:ilvl w:val="0"/>
        </w:numPr>
        <w:tabs>
          <w:tab w:val="clear" w:pos="1260"/>
          <w:tab w:val="left" w:pos="425"/>
        </w:tabs>
        <w:ind w:left="0" w:firstLine="709"/>
        <w:jc w:val="both"/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Здание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б. мебельной фабрики М. Пиетинена», расположенного по адресу: Ленинградская область, г. Выборг, Ленинградский пр., д. 5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bookmarkStart w:id="1" w:name="_Hlk223460347"/>
      <w:r>
        <w:rPr>
          <w:sz w:val="28"/>
          <w:szCs w:val="28"/>
        </w:rPr>
        <w:t xml:space="preserve">местного (муниципального)</w:t>
      </w:r>
      <w:bookmarkEnd w:id="1"/>
      <w:r>
        <w:rPr>
          <w:sz w:val="28"/>
          <w:szCs w:val="28"/>
        </w:rPr>
        <w:t xml:space="preserve"> значения с наименованием </w:t>
      </w:r>
      <w:r>
        <w:rPr>
          <w:sz w:val="28"/>
          <w:szCs w:val="28"/>
        </w:rPr>
        <w:t xml:space="preserve">«Деревообрабатывающий завод акционерного общества «Матти Пиетинен» (Мастерская компании «Выборг»)»,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1899 г., 1916-1918 гг., </w:t>
      </w:r>
      <w:r>
        <w:rPr>
          <w:bCs/>
          <w:sz w:val="28"/>
          <w:szCs w:val="28"/>
        </w:rPr>
        <w:t xml:space="preserve">по адресу: Ленинградская область, г. Выборг,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Ленинградский пр., д. 5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вид – памятник.</w:t>
      </w:r>
    </w:p>
    <w:p>
      <w:pPr>
        <w:numPr>
          <w:numId w:val="1"/>
          <w:ilvl w:val="0"/>
        </w:numPr>
        <w:tabs>
          <w:tab w:val="clear" w:pos="1260"/>
          <w:tab w:val="left" w:pos="425"/>
        </w:tabs>
        <w:ind w:left="0" w:firstLine="709"/>
        <w:jc w:val="both"/>
      </w:pPr>
      <w:r>
        <w:rPr>
          <w:sz w:val="28"/>
          <w:szCs w:val="28"/>
        </w:rPr>
        <w:t xml:space="preserve">Утвердить границы территории объекта культурного наследия </w:t>
      </w:r>
      <w:bookmarkStart w:id="2" w:name="_Hlk223460418"/>
      <w:r>
        <w:rPr>
          <w:sz w:val="28"/>
          <w:szCs w:val="28"/>
        </w:rPr>
        <w:t xml:space="preserve">местного (муниципального) значения «</w:t>
      </w:r>
      <w:bookmarkStart w:id="3" w:name="_Hlk228820810"/>
      <w:r>
        <w:rPr>
          <w:sz w:val="28"/>
          <w:szCs w:val="28"/>
        </w:rPr>
        <w:t xml:space="preserve">Деревообрабатывающий завод акционерного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общества «Матти Пиетинен» (Мастерская компании «Выборг»)</w:t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адресу: </w:t>
      </w:r>
      <w:bookmarkEnd w:id="2"/>
      <w:bookmarkEnd w:id="3"/>
      <w:r>
        <w:rPr>
          <w:bCs/>
          <w:sz w:val="28"/>
          <w:szCs w:val="28"/>
        </w:rPr>
        <w:t xml:space="preserve">Ленинградская область, г. Выборг, Ленинградский пр., д. 5</w:t>
      </w:r>
      <w:r>
        <w:rPr>
          <w:sz w:val="28"/>
          <w:szCs w:val="28"/>
        </w:rPr>
        <w:t xml:space="preserve">, согласно приложению 1 к настоящему приказу.</w:t>
      </w:r>
    </w:p>
    <w:p>
      <w:pPr>
        <w:numPr>
          <w:numId w:val="1"/>
          <w:ilvl w:val="0"/>
        </w:numPr>
        <w:tabs>
          <w:tab w:val="clear" w:pos="1260"/>
          <w:tab w:val="left" w:pos="425"/>
        </w:tabs>
        <w:ind w:left="0" w:firstLine="709"/>
        <w:jc w:val="both"/>
      </w:pPr>
      <w:r>
        <w:rPr>
          <w:sz w:val="28"/>
          <w:szCs w:val="28"/>
        </w:rPr>
        <w:t xml:space="preserve">Утвердить предмет охраны объекта культурного наследия </w:t>
      </w:r>
      <w:bookmarkStart w:id="4" w:name="_Hlk223460699"/>
      <w:bookmarkStart w:id="5" w:name="_Hlk223638452"/>
      <w:r>
        <w:rPr>
          <w:sz w:val="28"/>
          <w:szCs w:val="28"/>
        </w:rPr>
        <w:t xml:space="preserve">местного (муниципального)</w:t>
      </w:r>
      <w:bookmarkEnd w:id="4"/>
      <w:r>
        <w:rPr>
          <w:sz w:val="28"/>
          <w:szCs w:val="28"/>
        </w:rPr>
        <w:t xml:space="preserve"> </w:t>
      </w:r>
      <w:bookmarkEnd w:id="5"/>
      <w:r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Деревообрабатывающий завод акционерного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общества «Матти Пиетинен» (Мастерская компании «Выборг»)</w:t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  <w:t xml:space="preserve">по адресу: </w:t>
      </w:r>
      <w:r>
        <w:rPr>
          <w:bCs/>
          <w:sz w:val="28"/>
          <w:szCs w:val="28"/>
        </w:rPr>
        <w:t xml:space="preserve">Ленинградская область, г. Выборг, Ленинградский пр., д. 5</w:t>
      </w:r>
      <w:r>
        <w:rPr>
          <w:sz w:val="28"/>
          <w:szCs w:val="28"/>
        </w:rPr>
        <w:t xml:space="preserve">, согласно приложению 2 к настоящему приказу.</w:t>
      </w:r>
    </w:p>
    <w:p>
      <w:pPr>
        <w:numPr>
          <w:numId w:val="1"/>
          <w:ilvl w:val="0"/>
        </w:numPr>
        <w:tabs>
          <w:tab w:val="clear" w:pos="1260"/>
          <w:tab w:val="left" w:pos="425"/>
        </w:tabs>
        <w:ind w:left="0" w:firstLine="709"/>
        <w:jc w:val="both"/>
      </w:pPr>
      <w:r>
        <w:rPr>
          <w:sz w:val="28"/>
          <w:szCs w:val="28"/>
        </w:rPr>
        <w:t xml:space="preserve">Исключить выявленный объект культурного наследия </w:t>
      </w:r>
      <w:r>
        <w:rPr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Здание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б. мебельной фабрики М. Пиетинена», расположенн</w:t>
      </w:r>
      <w:r>
        <w:rPr>
          <w:bCs/>
          <w:sz w:val="28"/>
          <w:szCs w:val="28"/>
        </w:rPr>
        <w:t xml:space="preserve">ый</w:t>
      </w:r>
      <w:r>
        <w:rPr>
          <w:bCs/>
          <w:sz w:val="28"/>
          <w:szCs w:val="28"/>
        </w:rPr>
        <w:t xml:space="preserve"> по адресу: Ленинградская область, г. Выборг, Ленинградский пр., д. 5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из Перечня выявленных объектов культурного наследия, расположенных на территории</w:t>
      </w:r>
      <w:r>
        <w:rPr>
          <w:bCs/>
          <w:sz w:val="28"/>
          <w:szCs w:val="28"/>
        </w:rPr>
        <w:t xml:space="preserve"> Ленинградской области, включенный приказом комитета по сохранению культурного наследия Ленинградской области от 01 декабря 2015 года № 01-03/15-63 (п.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505</w:t>
      </w:r>
      <w:r>
        <w:rPr>
          <w:bCs/>
          <w:sz w:val="28"/>
          <w:szCs w:val="28"/>
        </w:rPr>
        <w:t xml:space="preserve">).</w:t>
      </w:r>
    </w:p>
    <w:p>
      <w:pPr>
        <w:numPr>
          <w:numId w:val="1"/>
          <w:ilvl w:val="0"/>
        </w:numPr>
        <w:tabs>
          <w:tab w:val="clear" w:pos="1260"/>
          <w:tab w:val="left" w:pos="425"/>
        </w:tabs>
        <w:ind w:left="0" w:firstLine="709"/>
        <w:jc w:val="both"/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внесение сведений об объекте культурного наследия местного (муниципального) значения, указанном в п. 1 настоящего приказа, в единый государственный реестр объектов культурного наследия (памятников истории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культуры) народов Российской Федерации;</w: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недвижимости;</w:t>
      </w:r>
    </w:p>
    <w:p>
      <w:pPr>
        <w:pStyle w:val="af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письменного уведомления собственнику или иному законному владельцу объекта культурного наследия местного (муниципального) значения, земельного участка в границах территории объекта культурного наследия местного (муниципального) значения, указанного в п.1 настоящего приказа</w:t>
      </w:r>
      <w:r>
        <w:rPr>
          <w:sz w:val="28"/>
          <w:szCs w:val="27"/>
        </w:rPr>
        <w:t xml:space="preserve">.</w:t>
      </w:r>
    </w:p>
    <w:p>
      <w:pPr>
        <w:pStyle w:val="af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Сектору делопроизводства и информационного обеспечения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Настоящий приказ вступает в силу со дня его официального опубликования.</w:t>
      </w:r>
    </w:p>
    <w:p>
      <w:pPr>
        <w:ind w:firstLine="540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5351"/>
        <w:gridCol w:w="4855"/>
      </w:tblGrid>
      <w:tr>
        <w:tc>
          <w:tcPr>
            <w:tcW w:w="5351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Вице-губернатор Ленинградской области по вопросам развития и сохранения культурного наследия – председатель комитета по сохранению культурного наследия Ленинградской области</w:t>
            </w:r>
          </w:p>
        </w:tc>
        <w:tc>
          <w:tcPr>
            <w:tcW w:w="4855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В.О. Цой   </w:t>
            </w:r>
          </w:p>
        </w:tc>
      </w:tr>
    </w:tbl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8"/>
          <w:szCs w:val="28"/>
        </w:rPr>
      </w:pPr>
    </w:p>
    <w:p>
      <w:pPr>
        <w:contextualSpacing/>
        <w:jc w:val="right"/>
        <w:rPr>
          <w:sz w:val="26"/>
          <w:szCs w:val="26"/>
        </w:rPr>
        <w:sect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>
      <w:pPr>
        <w:ind w:left="4820"/>
        <w:contextualSpacing/>
        <w:jc w:val="center"/>
        <w:rPr>
          <w:sz w:val="28"/>
          <w:szCs w:val="27"/>
        </w:rPr>
      </w:pPr>
      <w:r>
        <w:rPr>
          <w:sz w:val="28"/>
          <w:szCs w:val="27"/>
        </w:rPr>
        <w:t xml:space="preserve">Приложение 1</w:t>
      </w:r>
    </w:p>
    <w:p>
      <w:pPr>
        <w:ind w:left="4820"/>
        <w:contextualSpacing/>
        <w:jc w:val="center"/>
        <w:rPr>
          <w:sz w:val="28"/>
          <w:szCs w:val="27"/>
        </w:rPr>
      </w:pPr>
      <w:r>
        <w:rPr>
          <w:sz w:val="28"/>
          <w:szCs w:val="27"/>
        </w:rPr>
        <w:t xml:space="preserve">к приказу комитета по сохранению</w:t>
      </w:r>
    </w:p>
    <w:p>
      <w:pPr>
        <w:ind w:left="4820"/>
        <w:contextualSpacing/>
        <w:jc w:val="center"/>
        <w:rPr>
          <w:sz w:val="28"/>
          <w:szCs w:val="27"/>
        </w:rPr>
      </w:pPr>
      <w:r>
        <w:rPr>
          <w:sz w:val="28"/>
          <w:szCs w:val="27"/>
        </w:rPr>
        <w:t xml:space="preserve">культурного наследия Ленинградской области</w:t>
      </w:r>
    </w:p>
    <w:p>
      <w:pPr>
        <w:ind w:left="4820"/>
        <w:contextualSpacing/>
        <w:jc w:val="center"/>
        <w:rPr>
          <w:sz w:val="28"/>
          <w:szCs w:val="27"/>
        </w:rPr>
      </w:pPr>
      <w:r>
        <w:rPr>
          <w:sz w:val="28"/>
          <w:szCs w:val="27"/>
        </w:rPr>
        <w:t xml:space="preserve">от «</w:t>
      </w:r>
      <w:r>
        <w:rPr>
          <w:sz w:val="28"/>
          <w:szCs w:val="27"/>
        </w:rPr>
        <w:t xml:space="preserve">_</w:t>
      </w:r>
      <w:r>
        <w:rPr>
          <w:sz w:val="28"/>
          <w:szCs w:val="27"/>
        </w:rPr>
        <w:t xml:space="preserve">__» _______</w:t>
      </w:r>
      <w:r>
        <w:rPr>
          <w:sz w:val="28"/>
          <w:szCs w:val="27"/>
        </w:rPr>
        <w:t xml:space="preserve">__</w:t>
      </w:r>
      <w:r>
        <w:rPr>
          <w:sz w:val="28"/>
          <w:szCs w:val="27"/>
        </w:rPr>
        <w:t xml:space="preserve">____ 2026 года №_______</w:t>
      </w:r>
      <w:r>
        <w:rPr>
          <w:sz w:val="28"/>
          <w:szCs w:val="27"/>
        </w:rPr>
        <w:t xml:space="preserve">__________</w:t>
      </w:r>
      <w:r>
        <w:rPr>
          <w:sz w:val="28"/>
          <w:szCs w:val="27"/>
        </w:rPr>
        <w:t xml:space="preserve">_____</w:t>
      </w:r>
    </w:p>
    <w:p>
      <w:pPr>
        <w:ind w:left="4820"/>
        <w:contextualSpacing/>
        <w:rPr>
          <w:sz w:val="28"/>
          <w:szCs w:val="27"/>
        </w:rPr>
      </w:pPr>
    </w:p>
    <w:p>
      <w:pPr>
        <w:contextualSpacing/>
        <w:rPr>
          <w:sz w:val="28"/>
          <w:szCs w:val="27"/>
        </w:rPr>
      </w:pPr>
    </w:p>
    <w:p>
      <w:pPr>
        <w:contextualSpacing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 xml:space="preserve">Карта (схема) границ территории</w:t>
      </w:r>
    </w:p>
    <w:p>
      <w:pPr>
        <w:contextualSpacing/>
        <w:jc w:val="center"/>
        <w:rPr>
          <w:b/>
          <w:bCs/>
          <w:sz w:val="28"/>
          <w:szCs w:val="27"/>
        </w:rPr>
      </w:pPr>
      <w:r>
        <w:rPr>
          <w:b/>
          <w:sz w:val="28"/>
          <w:szCs w:val="27"/>
        </w:rPr>
        <w:t xml:space="preserve">объекта культурного наследия </w:t>
      </w:r>
      <w:bookmarkStart w:id="6" w:name="_Hlk223463242"/>
      <w:r>
        <w:rPr>
          <w:b/>
          <w:sz w:val="28"/>
          <w:szCs w:val="27"/>
        </w:rPr>
        <w:t xml:space="preserve">местного (муниципального) значения </w:t>
      </w:r>
      <w:r>
        <w:rPr>
          <w:b/>
          <w:sz w:val="28"/>
          <w:szCs w:val="27"/>
        </w:rPr>
        <w:br/>
        <w:t xml:space="preserve">«</w:t>
      </w:r>
      <w:bookmarkEnd w:id="6"/>
      <w:r>
        <w:rPr>
          <w:b/>
          <w:sz w:val="28"/>
          <w:szCs w:val="27"/>
        </w:rPr>
        <w:t xml:space="preserve">Деревообрабатывающий завод акционерного общества «Матти Пиетинен» (Мастерская компании «Выборг»)», </w:t>
      </w:r>
      <w:r>
        <w:rPr>
          <w:b/>
          <w:sz w:val="28"/>
          <w:szCs w:val="27"/>
        </w:rPr>
        <w:t xml:space="preserve">расположенного</w:t>
      </w:r>
      <w:r>
        <w:rPr>
          <w:b/>
          <w:sz w:val="28"/>
          <w:szCs w:val="27"/>
        </w:rPr>
        <w:t xml:space="preserve"> </w:t>
      </w:r>
      <w:r>
        <w:rPr>
          <w:b/>
          <w:bCs/>
          <w:sz w:val="28"/>
          <w:szCs w:val="27"/>
        </w:rPr>
        <w:t xml:space="preserve">по адресу: Ленинградская область, г. Выборг, Ленинградский пр., д. 5</w:t>
      </w:r>
    </w:p>
    <w:p>
      <w:pPr>
        <w:contextualSpacing/>
        <w:jc w:val="center"/>
        <w:rPr>
          <w:b/>
          <w:sz w:val="26"/>
          <w:szCs w:val="26"/>
        </w:rPr>
      </w:pPr>
    </w:p>
    <w:p>
      <w:pPr>
        <w:jc w:val="center"/>
        <w:rPr>
          <w:b/>
          <w:spacing w:val="-1"/>
          <w:sz w:val="26"/>
          <w:szCs w:val="26"/>
        </w:rPr>
      </w:pPr>
    </w:p>
    <w:p>
      <w:pPr>
        <w:jc w:val="center"/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49140" cy="5915025"/>
                <wp:effectExtent l="0" t="0" r="3810" b="9525"/>
                <wp:docPr id="2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0"/>
                        <a:srcRect b="4840"/>
                        <a:stretch/>
                      </pic:blipFill>
                      <pic:spPr bwMode="auto">
                        <a:xfrm>
                          <a:off x="0" y="0"/>
                          <a:ext cx="4551800" cy="59184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8.20pt;height:465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jc w:val="center"/>
        <w:rPr>
          <w:b/>
          <w:spacing w:val="-1"/>
          <w:sz w:val="27"/>
          <w:szCs w:val="27"/>
        </w:rPr>
        <w:sect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>
      <w:pPr>
        <w:pStyle w:val="aff"/>
        <w:contextualSpacing/>
        <w:jc w:val="center"/>
        <w:rPr>
          <w:b/>
          <w:sz w:val="28"/>
          <w:szCs w:val="27"/>
          <w:lang w:val="ru-RU"/>
        </w:rPr>
      </w:pPr>
      <w:r>
        <w:rPr>
          <w:b/>
          <w:sz w:val="28"/>
          <w:szCs w:val="27"/>
          <w:lang w:val="ru-RU"/>
        </w:rPr>
        <w:t xml:space="preserve">План поворотных (характерных) точек границ территории </w:t>
      </w:r>
      <w:r>
        <w:rPr>
          <w:b/>
          <w:sz w:val="28"/>
          <w:szCs w:val="27"/>
          <w:lang w:val="ru-RU"/>
        </w:rPr>
        <w:br/>
      </w:r>
      <w:r>
        <w:rPr>
          <w:b/>
          <w:sz w:val="28"/>
          <w:szCs w:val="27"/>
          <w:lang w:val="ru-RU"/>
        </w:rPr>
        <w:t xml:space="preserve">объекта культурного наследия местного (муниципального) значения </w:t>
      </w:r>
      <w:r>
        <w:rPr>
          <w:b/>
          <w:sz w:val="28"/>
          <w:szCs w:val="27"/>
          <w:lang w:val="ru-RU"/>
        </w:rPr>
        <w:br/>
        <w:t xml:space="preserve">«Деревообрабатывающий завод акционерного общества «Матти Пиетинен» (Мастерская компании «Выборг»)», расположенного </w:t>
      </w:r>
      <w:r>
        <w:rPr>
          <w:b/>
          <w:bCs/>
          <w:sz w:val="28"/>
          <w:szCs w:val="27"/>
          <w:lang w:val="ru-RU"/>
        </w:rPr>
        <w:t xml:space="preserve">по адресу: Ленинградская область, г. Выборг, Ленинградский пр., д. 5</w:t>
      </w:r>
    </w:p>
    <w:p>
      <w:pPr>
        <w:contextualSpacing/>
        <w:jc w:val="center"/>
        <w:rPr>
          <w:b/>
          <w:bCs/>
          <w:sz w:val="26"/>
          <w:szCs w:val="26"/>
        </w:rPr>
      </w:pPr>
    </w:p>
    <w:p>
      <w:pPr>
        <w:contextualSpacing/>
        <w:jc w:val="center"/>
        <w:rPr>
          <w:b/>
          <w:bCs/>
          <w:sz w:val="26"/>
          <w:szCs w:val="2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2137" cy="6677025"/>
                <wp:effectExtent l="0" t="0" r="7620" b="0"/>
                <wp:docPr id="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1"/>
                        <a:srcRect b="10602"/>
                        <a:stretch/>
                      </pic:blipFill>
                      <pic:spPr bwMode="auto">
                        <a:xfrm>
                          <a:off x="0" y="0"/>
                          <a:ext cx="5042209" cy="67037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5.44pt;height:525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>
      <w:pPr>
        <w:ind w:left="1418"/>
        <w:contextualSpacing/>
        <w:rPr>
          <w:b/>
          <w:bCs/>
          <w:sz w:val="26"/>
          <w:szCs w:val="26"/>
        </w:rPr>
        <w:sect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91266" cy="351155"/>
                <wp:effectExtent l="0" t="0" r="0" b="0"/>
                <wp:docPr id="4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164511" cy="371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5.53pt;height:27.6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>
      <w:pPr>
        <w:widowControl w:val="off"/>
        <w:contextualSpacing/>
        <w:jc w:val="center"/>
        <w:rPr>
          <w:b/>
          <w:spacing w:val="-1"/>
          <w:sz w:val="28"/>
          <w:szCs w:val="27"/>
        </w:rPr>
      </w:pPr>
      <w:r>
        <w:rPr>
          <w:b/>
          <w:spacing w:val="-1"/>
          <w:sz w:val="28"/>
          <w:szCs w:val="27"/>
        </w:rPr>
        <w:t xml:space="preserve">Перечень координат поворотных (характерных) точек границ территории </w:t>
      </w:r>
      <w:r>
        <w:rPr>
          <w:b/>
          <w:spacing w:val="-1"/>
          <w:sz w:val="28"/>
          <w:szCs w:val="27"/>
        </w:rPr>
        <w:t xml:space="preserve">объекта культурного наследия местного (муниципального) значения «Деревообрабатывающий завод акционерного общества «Матти Пиетинен» (Мастерская компании «Выборг»)», расположенного </w:t>
      </w:r>
      <w:r>
        <w:rPr>
          <w:b/>
          <w:bCs/>
          <w:spacing w:val="-1"/>
          <w:sz w:val="28"/>
          <w:szCs w:val="27"/>
        </w:rPr>
        <w:t xml:space="preserve">по адресу: Ленинградская область, г. Выборг, Ленинградский пр., д. 5</w:t>
      </w:r>
    </w:p>
    <w:p>
      <w:pPr>
        <w:widowControl w:val="off"/>
        <w:contextualSpacing/>
        <w:jc w:val="center"/>
        <w:rPr>
          <w:b/>
          <w:spacing w:val="-1"/>
          <w:sz w:val="16"/>
          <w:szCs w:val="16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3943"/>
        <w:gridCol w:w="3544"/>
      </w:tblGrid>
      <w:tr>
        <w:trPr>
          <w:trHeight w:val="931"/>
        </w:trPr>
        <w:tc>
          <w:tcPr>
            <w:tcW w:w="1869" w:type="dxa"/>
            <w:vMerge w:val="restart"/>
            <w:vAlign w:val="center"/>
          </w:tcPr>
          <w:p>
            <w:pPr>
              <w:ind w:left="-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Номер характерной точки</w:t>
            </w:r>
          </w:p>
        </w:tc>
        <w:tc>
          <w:tcPr>
            <w:tcW w:w="7487" w:type="dxa"/>
            <w:gridSpan w:val="2"/>
            <w:vAlign w:val="center"/>
          </w:tcPr>
          <w:p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Определение географических координат характерных точек границы территории объекта культурного наследия выполнено в местной системе координат МСК-47 зона 1</w:t>
            </w:r>
          </w:p>
        </w:tc>
      </w:tr>
      <w:tr>
        <w:trPr>
          <w:trHeight w:val="367"/>
        </w:trPr>
        <w:tc>
          <w:tcPr>
            <w:tcW w:w="1869" w:type="dxa"/>
            <w:vMerge w:val="continue"/>
            <w:vAlign w:val="center"/>
          </w:tcPr>
          <w:p>
            <w:pPr>
              <w:ind w:left="-120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  <w:vAlign w:val="center"/>
          </w:tcPr>
          <w:p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Х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 xml:space="preserve">Y</w:t>
            </w:r>
          </w:p>
        </w:tc>
      </w:tr>
      <w:tr>
        <w:trPr>
          <w:trHeight w:val="287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  <w:bookmarkStart w:id="7" w:name="_Hlk211442524"/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522298.03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1293285.27</w:t>
            </w:r>
          </w:p>
        </w:tc>
      </w:tr>
      <w:tr>
        <w:trPr>
          <w:trHeight w:val="350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522279.29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1293271.39</w:t>
            </w:r>
          </w:p>
        </w:tc>
      </w:tr>
      <w:tr>
        <w:trPr>
          <w:trHeight w:val="255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522277.68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1293270.2</w:t>
            </w:r>
          </w:p>
        </w:tc>
      </w:tr>
      <w:tr>
        <w:trPr>
          <w:trHeight w:val="277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522256.27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1293298.93</w:t>
            </w:r>
          </w:p>
        </w:tc>
      </w:tr>
      <w:tr>
        <w:trPr>
          <w:trHeight w:val="411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522252.23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1293295.98</w:t>
            </w:r>
          </w:p>
        </w:tc>
      </w:tr>
      <w:tr>
        <w:trPr>
          <w:trHeight w:val="276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522248.13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1293301.51</w:t>
            </w:r>
          </w:p>
        </w:tc>
      </w:tr>
      <w:tr>
        <w:trPr>
          <w:trHeight w:val="281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522246.2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1293300.09</w:t>
            </w:r>
          </w:p>
        </w:tc>
      </w:tr>
      <w:tr>
        <w:trPr>
          <w:trHeight w:val="329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522246.74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1293299.36</w:t>
            </w:r>
          </w:p>
        </w:tc>
      </w:tr>
      <w:tr>
        <w:trPr>
          <w:trHeight w:val="279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522241.95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1293295.81</w:t>
            </w:r>
          </w:p>
        </w:tc>
      </w:tr>
      <w:tr>
        <w:trPr>
          <w:trHeight w:val="342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522234.59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1293305.47</w:t>
            </w:r>
          </w:p>
        </w:tc>
      </w:tr>
      <w:tr>
        <w:trPr>
          <w:trHeight w:val="389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522239.03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1293308.77</w:t>
            </w:r>
          </w:p>
        </w:tc>
      </w:tr>
      <w:tr>
        <w:trPr>
          <w:trHeight w:val="281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522237.93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1293310.25</w:t>
            </w:r>
          </w:p>
        </w:tc>
      </w:tr>
      <w:tr>
        <w:trPr>
          <w:trHeight w:val="344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522252.92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1293321.49</w:t>
            </w:r>
          </w:p>
        </w:tc>
      </w:tr>
      <w:tr>
        <w:trPr>
          <w:trHeight w:val="361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522252.47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1293322.09</w:t>
            </w:r>
          </w:p>
        </w:tc>
      </w:tr>
      <w:tr>
        <w:trPr>
          <w:trHeight w:val="268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522253.67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1293322.99</w:t>
            </w:r>
          </w:p>
        </w:tc>
      </w:tr>
      <w:tr>
        <w:trPr>
          <w:trHeight w:val="343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522254.12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1293322.39</w:t>
            </w:r>
          </w:p>
        </w:tc>
      </w:tr>
      <w:tr>
        <w:trPr>
          <w:trHeight w:val="263"/>
        </w:trPr>
        <w:tc>
          <w:tcPr>
            <w:tcW w:w="1869" w:type="dxa"/>
          </w:tcPr>
          <w:p>
            <w:pPr>
              <w:numPr>
                <w:numId w:val="32"/>
                <w:ilvl w:val="0"/>
              </w:num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</w:p>
        </w:tc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522264.62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1293330.26</w:t>
            </w:r>
          </w:p>
        </w:tc>
      </w:tr>
      <w:tr>
        <w:trPr>
          <w:trHeight w:val="312"/>
        </w:trPr>
        <w:tc>
          <w:tcPr>
            <w:tcW w:w="1869" w:type="dxa"/>
          </w:tcPr>
          <w:p>
            <w:pPr>
              <w:spacing w:line="276" w:lineRule="auto"/>
              <w:ind w:right="17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1.</w:t>
            </w:r>
          </w:p>
        </w:tc>
        <w:bookmarkEnd w:id="7"/>
        <w:tc>
          <w:tcPr>
            <w:tcW w:w="3943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522298.03</w:t>
            </w:r>
          </w:p>
        </w:tc>
        <w:tc>
          <w:tcPr>
            <w:tcW w:w="3544" w:type="dxa"/>
          </w:tcPr>
          <w:p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1293285.27</w:t>
            </w:r>
          </w:p>
        </w:tc>
      </w:tr>
    </w:tbl>
    <w:p>
      <w:pPr>
        <w:contextualSpacing/>
        <w:jc w:val="center"/>
        <w:rPr>
          <w:b/>
          <w:bCs/>
          <w:sz w:val="27"/>
          <w:szCs w:val="27"/>
        </w:rPr>
      </w:pPr>
    </w:p>
    <w:p>
      <w:pPr>
        <w:contextualSpacing/>
        <w:jc w:val="center"/>
        <w:rPr>
          <w:b/>
          <w:bCs/>
          <w:sz w:val="27"/>
          <w:szCs w:val="27"/>
        </w:rPr>
      </w:pPr>
    </w:p>
    <w:p>
      <w:pPr>
        <w:contextualSpacing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Текстовое описание границ территории </w:t>
      </w:r>
      <w:r>
        <w:rPr>
          <w:b/>
          <w:bCs/>
          <w:sz w:val="27"/>
          <w:szCs w:val="27"/>
        </w:rPr>
        <w:t xml:space="preserve">объекта культурного наследия местного (муниципального) значения «Деревообрабатывающий завод акционерного общества «Матти Пиетинен» (Мастерская компании «Выборг»)», расположенного по адресу: Ленинградская область, г. Выборг, Ленинградский пр., д. 5</w:t>
      </w:r>
    </w:p>
    <w:p>
      <w:pPr>
        <w:contextualSpacing/>
        <w:jc w:val="center"/>
        <w:rPr>
          <w:b/>
          <w:bCs/>
          <w:sz w:val="27"/>
          <w:szCs w:val="27"/>
        </w:rPr>
      </w:pP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Точка 1 расположена на северном углу здания, выходящем на пересечение Ленинградского пр. и ул. Выборгская, на границе кадастрового участка № 47:01:0107001:2995</w:t>
      </w:r>
      <w:r>
        <w:rPr>
          <w:spacing w:val="-1"/>
          <w:sz w:val="27"/>
          <w:szCs w:val="27"/>
        </w:rPr>
        <w:t xml:space="preserve">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1, через точку 2, к точке 3 на юго-запад вдоль северо-западного фасада здания.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3 к точке 4 параллельно юго-западному фасаду, на расстоянии 2 м от линии фасада.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4 к точке 5 на юго-запад 5м.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5 к точке 6 на юго-восток 6,9 м до стены здания.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6 к точке 7 на юго-запад 2,4 м вдоль стены здания.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7 к точке 8 на северо-запад вдоль стены здания 0,9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8 к точке 9 на юго-запад вдоль стены здания 5,9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9 к точке 10 на юго-восток вдоль стены здания 12,1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10 к точке 11 на северо-восток вдоль стены здания 5,5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11 к точке 12 на юго-восток вдоль стены здания 1,85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12 к точке 13 на северо-восток вдоль стены здания 18,7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13 к точке 14 на юго-восток вдоль стены здания 0,75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14 к точке 15 на северо-восток вдоль стены здания 1,5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15 к точке 16 на северо-запад вдоль стены здания 0,75 м.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16 к точке 17 на северо-восток вдоль стены здания до границы кадастрового участка № 47:01:0107001:2995</w:t>
      </w:r>
      <w:r>
        <w:rPr>
          <w:spacing w:val="-1"/>
          <w:sz w:val="27"/>
          <w:szCs w:val="27"/>
        </w:rPr>
        <w:t xml:space="preserve">.</w:t>
      </w:r>
    </w:p>
    <w:p>
      <w:pPr>
        <w:spacing w:line="276" w:lineRule="auto"/>
        <w:ind w:firstLine="709"/>
        <w:jc w:val="both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От точки 17 к точке 1 на северо-запад вдоль стены здания и кадастрового участка № 47:01:0107001:2995</w:t>
      </w:r>
      <w:r>
        <w:rPr>
          <w:spacing w:val="-1"/>
          <w:sz w:val="27"/>
          <w:szCs w:val="27"/>
        </w:rPr>
        <w:t xml:space="preserve">.</w:t>
      </w:r>
    </w:p>
    <w:p>
      <w:pPr>
        <w:contextualSpacing/>
        <w:jc w:val="center"/>
        <w:rPr>
          <w:b/>
          <w:bCs/>
          <w:sz w:val="26"/>
          <w:szCs w:val="26"/>
        </w:rPr>
      </w:pPr>
    </w:p>
    <w:p>
      <w:pPr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 xml:space="preserve">Режим использования территории </w:t>
      </w:r>
      <w:r>
        <w:rPr>
          <w:b/>
          <w:bCs/>
          <w:sz w:val="27"/>
          <w:szCs w:val="27"/>
        </w:rPr>
        <w:t xml:space="preserve">объекта культурного наследия местного (муниципального) значения «Деревообрабатывающий завод акционерного общества «Матти Пиетинен» (Мастерская компании «Выборг»)», расположенного по адресу: Ленинградская область, г. Выборг, Ленинградский пр., д. 5</w:t>
      </w:r>
    </w:p>
    <w:p>
      <w:pPr>
        <w:jc w:val="center"/>
        <w:rPr>
          <w:b/>
          <w:sz w:val="27"/>
          <w:szCs w:val="27"/>
        </w:rPr>
      </w:pPr>
    </w:p>
    <w:p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границах территории объекта культурного наследия: </w:t>
      </w:r>
    </w:p>
    <w:p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запрещается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 градостроительной или природной среды объекта культурного наследия, работ по капитальному ремонту общего имущества в многоквартирных домах, являющихся объектами культурного наследия, включенными в единый государственный реестр объектов культурного наследия (памятников истории и культуры) народов Российской Федерации, или выявленными объектами культурного наследия, работ по капитальному ремонту общего имущества в многоквартирных домах, расположенных на территориях объектов культурного наследия и не являющихся объектами культурного наследия; </w:t>
      </w:r>
    </w:p>
    <w:p>
      <w:pPr>
        <w:ind w:firstLine="851"/>
        <w:jc w:val="both"/>
        <w:rPr>
          <w:sz w:val="27"/>
          <w:szCs w:val="27"/>
        </w:rPr>
      </w:pPr>
    </w:p>
    <w:p>
      <w:pPr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2)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>
      <w:pPr>
        <w:ind w:firstLine="851"/>
        <w:jc w:val="both"/>
        <w:rPr>
          <w:sz w:val="27"/>
          <w:szCs w:val="27"/>
        </w:rPr>
      </w:pPr>
    </w:p>
    <w:p>
      <w:pPr>
        <w:ind w:firstLine="851"/>
        <w:jc w:val="both"/>
      </w:pPr>
    </w:p>
    <w:p>
      <w:pPr>
        <w:contextualSpacing/>
        <w:jc w:val="right"/>
        <w:rPr>
          <w:sz w:val="26"/>
          <w:szCs w:val="26"/>
        </w:rPr>
      </w:pPr>
    </w:p>
    <w:p>
      <w:pPr>
        <w:contextualSpacing/>
        <w:jc w:val="right"/>
        <w:rPr>
          <w:sz w:val="26"/>
          <w:szCs w:val="26"/>
        </w:rPr>
        <w:sect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>
      <w:pPr>
        <w:tabs>
          <w:tab w:val="left" w:pos="5505"/>
        </w:tabs>
        <w:ind w:left="48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Приложение </w:t>
      </w:r>
      <w:r>
        <w:rPr>
          <w:sz w:val="27"/>
          <w:szCs w:val="27"/>
        </w:rPr>
        <w:t xml:space="preserve">2</w:t>
      </w:r>
    </w:p>
    <w:p>
      <w:pPr>
        <w:tabs>
          <w:tab w:val="left" w:pos="5505"/>
        </w:tabs>
        <w:ind w:left="48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к приказу комитета по сохранению</w:t>
      </w:r>
    </w:p>
    <w:p>
      <w:pPr>
        <w:tabs>
          <w:tab w:val="left" w:pos="5505"/>
        </w:tabs>
        <w:ind w:left="48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культурного наследия Ленинградской области</w:t>
      </w:r>
    </w:p>
    <w:p>
      <w:pPr>
        <w:tabs>
          <w:tab w:val="left" w:pos="5505"/>
        </w:tabs>
        <w:ind w:left="482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от «___» _____________ 2026 года №______________________</w:t>
      </w:r>
    </w:p>
    <w:p>
      <w:pPr>
        <w:tabs>
          <w:tab w:val="left" w:pos="5505"/>
        </w:tabs>
        <w:jc w:val="center"/>
        <w:rPr>
          <w:b/>
          <w:sz w:val="27"/>
          <w:szCs w:val="27"/>
          <w:highlight w:val="white"/>
        </w:rPr>
      </w:pPr>
    </w:p>
    <w:p>
      <w:pPr>
        <w:tabs>
          <w:tab w:val="left" w:pos="5505"/>
        </w:tabs>
        <w:jc w:val="center"/>
        <w:rPr>
          <w:b/>
          <w:bCs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 xml:space="preserve">Предмет охраны</w:t>
      </w:r>
    </w:p>
    <w:p>
      <w:pPr>
        <w:jc w:val="center"/>
        <w:rPr>
          <w:b/>
          <w:sz w:val="27"/>
          <w:szCs w:val="27"/>
        </w:rPr>
      </w:pPr>
      <w:r>
        <w:rPr>
          <w:b/>
          <w:bCs/>
          <w:sz w:val="27"/>
          <w:szCs w:val="27"/>
          <w:highlight w:val="white"/>
        </w:rPr>
        <w:t xml:space="preserve">объекта культурного наследия местного (муниципального) значения «Деревообрабатывающий завод акционерного общества «Матти Пиетинен» (Мастерская компании «Выборг»)», расположенного по адресу: Ленинградская область, г. Выборг, Ленинградский пр., д. 5</w:t>
      </w:r>
    </w:p>
    <w:p>
      <w:pPr>
        <w:jc w:val="center"/>
        <w:rPr>
          <w:b/>
          <w:sz w:val="27"/>
          <w:szCs w:val="27"/>
        </w:rPr>
      </w:pPr>
    </w:p>
    <w:tbl>
      <w:tblPr>
        <w:tblStyle w:val="af0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3828"/>
        <w:gridCol w:w="3543"/>
      </w:tblGrid>
      <w:t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off"/>
              <w:spacing w:line="264" w:lineRule="auto"/>
              <w:contextualSpacing/>
              <w:jc w:val="center"/>
            </w:pPr>
            <w:r>
              <w:t xml:space="preserve">№</w:t>
            </w:r>
          </w:p>
          <w:p>
            <w:pPr>
              <w:widowControl w:val="off"/>
              <w:spacing w:line="264" w:lineRule="auto"/>
              <w:contextualSpacing/>
              <w:jc w:val="center"/>
            </w:pPr>
            <w:r>
              <w:t xml:space="preserve">пп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off"/>
              <w:spacing w:line="264" w:lineRule="auto"/>
              <w:contextualSpacing/>
              <w:jc w:val="center"/>
            </w:pPr>
            <w:r>
              <w:t xml:space="preserve">Видовая принадлежность предмета охраны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off"/>
              <w:spacing w:line="264" w:lineRule="auto"/>
              <w:contextualSpacing/>
              <w:jc w:val="center"/>
            </w:pPr>
            <w:r>
              <w:t xml:space="preserve">Предмет охраны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off"/>
              <w:spacing w:line="264" w:lineRule="auto"/>
              <w:contextualSpacing/>
              <w:jc w:val="center"/>
            </w:pPr>
            <w:r>
              <w:t xml:space="preserve">Фотофиксация</w:t>
            </w:r>
          </w:p>
        </w:tc>
      </w:tr>
      <w:t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</w:pPr>
            <w:r>
              <w:t xml:space="preserve">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</w:pPr>
            <w:r>
              <w:t xml:space="preserve">2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</w:pPr>
            <w:r>
              <w:t xml:space="preserve">3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</w:pPr>
            <w:r>
              <w:t xml:space="preserve">4</w:t>
            </w:r>
          </w:p>
        </w:tc>
      </w:tr>
      <w:tr>
        <w:trPr>
          <w:trHeight w:val="4380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64" w:lineRule="auto"/>
              <w:contextualSpacing/>
            </w:pPr>
          </w:p>
          <w:p>
            <w:pPr>
              <w:spacing w:line="264" w:lineRule="auto"/>
              <w:contextualSpacing/>
            </w:pPr>
            <w:r>
              <w:t xml:space="preserve">1.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64" w:lineRule="auto"/>
              <w:contextualSpacing/>
            </w:pPr>
            <w:r>
              <w:t xml:space="preserve">Объёмно</w:t>
            </w:r>
            <w:r>
              <w:t xml:space="preserve">-пространственн</w:t>
            </w:r>
            <w:r>
              <w:t xml:space="preserve">ое решение: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местоположение, исторические* габариты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и конфигурация производственного корпуса </w:t>
            </w:r>
            <w:r>
              <w:rPr>
                <w:color w:val="000000"/>
                <w:lang w:eastAsia="zh-CN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прямоугольного в плане здания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 выраженным горизонтальным членением фасадов на 2 этажа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крыша: исторические</w:t>
            </w:r>
            <w:r>
              <w:rPr>
                <w:color w:val="000000"/>
                <w:lang w:eastAsia="zh-CN"/>
              </w:rPr>
              <w:t xml:space="preserve">*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габариты, конфигурация (двускатная, с фонарём), высотные отметки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конька, карниза, фонаря</w:t>
            </w:r>
            <w:r>
              <w:rPr>
                <w:color w:val="000000"/>
                <w:lang w:eastAsia="zh-CN"/>
              </w:rPr>
              <w:t xml:space="preserve"> (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частично утрачены</w:t>
            </w:r>
            <w:r>
              <w:rPr>
                <w:color w:val="000000"/>
                <w:lang w:eastAsia="zh-CN"/>
              </w:rPr>
              <w:t xml:space="preserve">);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местоположение, габариты (включая высотные отметки) и конфигурация круглого в плане дымохода</w:t>
            </w:r>
            <w:r>
              <w:rPr>
                <w:color w:val="000000"/>
                <w:lang w:eastAsia="zh-CN"/>
              </w:rPr>
              <w:t xml:space="preserve">.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8820" cy="1963854"/>
                      <wp:effectExtent l="0" t="0" r="0" b="0"/>
                      <wp:docPr id="5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2028325" cy="20028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56.60pt;height:154.63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</w:pPr>
          </w:p>
          <w:p>
            <w:pPr>
              <w:spacing w:line="264" w:lineRule="auto"/>
              <w:contextualSpacing/>
              <w:jc w:val="center"/>
            </w:pPr>
          </w:p>
          <w:p>
            <w:pPr>
              <w:spacing w:line="264" w:lineRule="auto"/>
              <w:contextualSpacing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52650" cy="1203632"/>
                      <wp:effectExtent l="0" t="0" r="0" b="0"/>
                      <wp:docPr id="6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2169117" cy="12128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69.50pt;height:94.77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</w:pPr>
          </w:p>
          <w:p>
            <w:pPr>
              <w:spacing w:line="264" w:lineRule="auto"/>
              <w:contextualSpacing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03375" cy="2086076"/>
                      <wp:effectExtent l="0" t="0" r="0" b="9525"/>
                      <wp:docPr id="7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>
                              <a:xfrm>
                                <a:off x="0" y="0"/>
                                <a:ext cx="1634853" cy="21270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26.25pt;height:164.2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  <w:tr>
        <w:trPr>
          <w:trHeight w:val="557"/>
        </w:trPr>
        <w:tc>
          <w:tcPr>
            <w:tcW w:w="10201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64" w:lineRule="auto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*Под историческими характеристиками здесь и далее подразумеваются существовавшие на 1919 г.</w:t>
            </w:r>
          </w:p>
          <w:p>
            <w:pPr>
              <w:spacing w:line="264" w:lineRule="auto"/>
              <w:contextualSpacing/>
              <w:rPr>
                <w:sz w:val="22"/>
              </w:rPr>
            </w:pPr>
          </w:p>
        </w:tc>
      </w:tr>
      <w:t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64" w:lineRule="auto"/>
              <w:contextualSpacing/>
            </w:pPr>
            <w:r>
              <w:t xml:space="preserve">2.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64" w:lineRule="auto"/>
              <w:contextualSpacing/>
            </w:pPr>
            <w:r>
              <w:t xml:space="preserve">Конструктивная</w:t>
            </w:r>
          </w:p>
          <w:p>
            <w:pPr>
              <w:spacing w:line="264" w:lineRule="auto"/>
              <w:contextualSpacing/>
            </w:pPr>
            <w:r>
              <w:t xml:space="preserve">система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конструктивная схема </w:t>
            </w:r>
            <w:r>
              <w:rPr>
                <w:color w:val="000000"/>
                <w:lang w:eastAsia="zh-CN"/>
              </w:rPr>
              <w:t xml:space="preserve">–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смешанная, с несущими стенами и железобетонным каркасом</w:t>
            </w:r>
            <w:r>
              <w:rPr>
                <w:color w:val="000000"/>
                <w:lang w:eastAsia="zh-CN"/>
              </w:rPr>
              <w:t xml:space="preserve">; 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внешние стены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производственного корпуса: местоположение, материал (кирпич); 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лестница в северной части здания: местоположение, габариты, конфигурация (распашная), конструкция (по косоурам); 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материал и характер отделки ступеней (дерево);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материал (дерево), рисунок и техника исполнения ограждения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на фигурных столбах с филёнками и шайбообразными навершиями, материал (дерево) и профиль поручня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лестница в северо-западной части здания: местоположение, габариты, конфигурация (двухмаршевая с забежными ступенями), конструкция (по косоурам);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материал и характер отделки ступеней (терраццо);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материал (металл), рисунок и техника исполнения ограждения (вертикальные стойки квадратного сечения), шаг стоек, материал (дерево) и профиль поручня.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contextualSpacing/>
            </w:pPr>
          </w:p>
        </w:tc>
        <w:tc>
          <w:tcPr>
            <w:tcW w:w="3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01850" cy="977957"/>
                      <wp:effectExtent l="0" t="0" r="0" b="0"/>
                      <wp:docPr id="8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2108524" cy="9810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65.50pt;height:77.0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86613" cy="1628775"/>
                      <wp:effectExtent l="0" t="0" r="8890" b="0"/>
                      <wp:docPr id="9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>
                              <a:xfrm>
                                <a:off x="0" y="0"/>
                                <a:ext cx="2105667" cy="16436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64.30pt;height:128.2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62360" cy="1295400"/>
                      <wp:effectExtent l="0" t="0" r="5080" b="0"/>
                      <wp:docPr id="10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2277339" cy="13039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78.14pt;height:102.0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7818" cy="1733550"/>
                      <wp:effectExtent l="0" t="0" r="1905" b="0"/>
                      <wp:docPr id="1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>
                                <a:off x="0" y="0"/>
                                <a:ext cx="1626504" cy="17428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27.39pt;height:136.5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9614" cy="2781300"/>
                      <wp:effectExtent l="0" t="0" r="0" b="0"/>
                      <wp:docPr id="12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1324316" cy="28341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02.33pt;height:219.0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510030"/>
                      <wp:effectExtent l="0" t="0" r="1905" b="0"/>
                      <wp:docPr id="13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>
                              <a:xfrm>
                                <a:off x="0" y="0"/>
                                <a:ext cx="2112645" cy="1510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66.35pt;height:118.90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2131060"/>
                      <wp:effectExtent l="0" t="0" r="1905" b="2540"/>
                      <wp:docPr id="14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2112645" cy="2131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66.35pt;height:167.8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570990"/>
                      <wp:effectExtent l="0" t="0" r="1905" b="0"/>
                      <wp:docPr id="15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>
                              <a:xfrm>
                                <a:off x="0" y="0"/>
                                <a:ext cx="2112645" cy="1570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66.35pt;height:123.70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2108200"/>
                      <wp:effectExtent l="0" t="0" r="1905" b="6350"/>
                      <wp:docPr id="16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2112645" cy="2108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66.35pt;height:166.00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</w:p>
        </w:tc>
      </w:tr>
      <w:tr>
        <w:tc>
          <w:tcPr>
            <w:tcW w:w="5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</w:pPr>
            <w:r>
              <w:t xml:space="preserve">3.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 xml:space="preserve">Объёмно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-</w:t>
            </w:r>
            <w: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 xml:space="preserve">планировочное решение: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местоположение внутренней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стены между административной и производственной частью</w:t>
            </w:r>
          </w:p>
          <w:p>
            <w:pPr>
              <w:pStyle w:val="Default"/>
              <w:ind w:firstLine="318"/>
            </w:pPr>
          </w:p>
        </w:tc>
        <w:tc>
          <w:tcPr>
            <w:tcW w:w="35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5500" cy="1032319"/>
                      <wp:effectExtent l="0" t="0" r="0" b="0"/>
                      <wp:docPr id="17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>
                              <a:xfrm>
                                <a:off x="0" y="0"/>
                                <a:ext cx="2106578" cy="1037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65.00pt;height:81.28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</w:tr>
      <w:tr>
        <w:trPr>
          <w:trHeight w:val="6948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64" w:lineRule="auto"/>
              <w:contextualSpacing/>
            </w:pPr>
            <w:r>
              <w:t xml:space="preserve">4</w:t>
            </w:r>
            <w:r>
              <w:t xml:space="preserve">.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 xml:space="preserve">Архитектурно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-</w:t>
            </w:r>
            <w: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zh-CN"/>
              </w:rPr>
              <w:t xml:space="preserve">художественное решение фасадов: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ind w:firstLine="318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С</w:t>
            </w:r>
            <w:r>
              <w:rPr>
                <w:b/>
                <w:bCs/>
              </w:rPr>
              <w:t xml:space="preserve">еверо-восточный и юго-западный боковые фасады, северо-западный (главный) фасад:</w:t>
            </w:r>
          </w:p>
          <w:p>
            <w:pPr>
              <w:ind w:firstLine="318"/>
              <w:contextualSpacing/>
            </w:pPr>
            <w:r>
              <w:t xml:space="preserve">архитектурно-художественное решение фасадов в приёмах «кирпичной архитектуры»; 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  <w:r>
              <w:t xml:space="preserve">материал и характер отделки фасадов, колористическое решение: открытая кирпичная кладка, гладкие светлые штукатурные вставки между проёмами 1 и 2 этажа и в обрамлении центральной оси главного фасада;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  <w:r>
              <w:t xml:space="preserve">цоколь: северо-восточный боковой фасад – гранитные блоки грубой обработки (частично скрыты под бетонной отмосткой); северо-западный (главный) и юго- западный боковой фасад – исторический цоколь по результатам инженерного обследования;</w:t>
            </w:r>
          </w:p>
          <w:p>
            <w:pPr>
              <w:ind w:firstLine="318"/>
              <w:contextualSpacing/>
            </w:pPr>
            <w:r>
              <w:t xml:space="preserve"> кирпичный венчающий карниз сложного профиля с зубцами;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  <w:r>
              <w:t xml:space="preserve">лопатки со наклонным навершием (стилизованные контрфорсы);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  <w:r>
              <w:t xml:space="preserve">исторические оконные проёмы, включая круглое и квадратные окна во фронтоне: местоположение, габариты, конфигурация;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  <w:r>
              <w:t xml:space="preserve">оконные заполнения: исторический цвет (белый) и рисунок расстекловки: </w:t>
            </w:r>
          </w:p>
          <w:p>
            <w:pPr>
              <w:ind w:firstLine="318"/>
              <w:contextualSpacing/>
            </w:pPr>
            <w:r>
              <w:t xml:space="preserve">в административной (северной) части в уровне 1 этажа </w:t>
            </w:r>
            <w:r>
              <w:t xml:space="preserve">- </w:t>
            </w:r>
            <w:r>
              <w:t xml:space="preserve">сплошное «витринное» остекление, в уровне 2 этажа заполнения в верхней трети поделены на 4 -6 частей, с откидной верхней фрамугой, заполнения проёмов фронтона – мелкая расстекловка (в квадратных проёмах - 12 секций (4х3);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в производственной части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здания</w:t>
            </w:r>
            <w:r>
              <w:rPr>
                <w:color w:val="000000"/>
                <w:lang w:eastAsia="zh-CN"/>
              </w:rPr>
              <w:t xml:space="preserve"> –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мелкая расстекловка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заполнений</w:t>
            </w:r>
            <w:r>
              <w:rPr>
                <w:color w:val="000000"/>
                <w:lang w:eastAsia="zh-CN"/>
              </w:rPr>
              <w:t xml:space="preserve">, 1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этаж </w:t>
            </w:r>
            <w:r>
              <w:rPr>
                <w:color w:val="000000"/>
                <w:lang w:eastAsia="zh-CN"/>
              </w:rPr>
              <w:t xml:space="preserve">– 15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секций (5х3) секции</w:t>
            </w:r>
            <w:r>
              <w:rPr>
                <w:color w:val="000000"/>
                <w:lang w:eastAsia="zh-CN"/>
              </w:rPr>
              <w:t xml:space="preserve">,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 откидной верхней фрамугой, 2 этаж </w:t>
            </w:r>
            <w:r>
              <w:rPr>
                <w:color w:val="000000"/>
                <w:lang w:eastAsia="zh-CN"/>
              </w:rPr>
              <w:t xml:space="preserve">– 12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секций (4х3), с откидной верхней фрамугой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дверной проём главного фасада: местоположение, исторические габариты (в пределах капитальных конструкций), конфигурация (прямоугольная)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contextualSpacing/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исторический воротный проём по 6 оси юго</w:t>
            </w:r>
            <w:r>
              <w:rPr>
                <w:color w:val="000000"/>
                <w:lang w:eastAsia="zh-CN"/>
              </w:rPr>
              <w:t xml:space="preserve">-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западного (дворового) фасада под бетонным козырьком (переоборудован в оконный): местоположение, исторические габариты, конфигурация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  <w:t xml:space="preserve">Ю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  <w:t xml:space="preserve">го</w:t>
            </w:r>
            <w:r>
              <w:rPr>
                <w:rFonts w:ascii="TimesNewRomanPSMT" w:hAnsi="TimesNewRomanPSMT" w:cs="TimesNewRomanPSMT"/>
                <w:b/>
                <w:bCs/>
                <w:color w:val="000000"/>
                <w:lang w:eastAsia="zh-CN"/>
              </w:rPr>
              <w:t xml:space="preserve">-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  <w:t xml:space="preserve">восточный торцевой фасад: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композиционное решение (плоскость фасада с выступающим объёмом вентшахты);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цоколь: гранитные блоки грубой обработки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исторические оконные проёмы в уровне 2 этажа: местоположение, габариты, конфигурация; оконные заполнения:</w:t>
            </w:r>
            <w:r>
              <w:rPr>
                <w:color w:val="000000"/>
                <w:lang w:eastAsia="zh-CN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рисунок расстекловки</w:t>
            </w:r>
            <w:r>
              <w:rPr>
                <w:color w:val="000000"/>
                <w:lang w:eastAsia="zh-CN"/>
              </w:rPr>
              <w:t xml:space="preserve"> –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мелкая, 12 секций (4х3), с откидной верхней фрамугой, исторический цвет </w:t>
            </w:r>
            <w:r>
              <w:rPr>
                <w:color w:val="000000"/>
                <w:lang w:eastAsia="zh-CN"/>
              </w:rPr>
              <w:t xml:space="preserve">- 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белый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оконные и дверные проёмы в уровне 1 этажа: местоположение, конфигурация, габариты ширины и верхняя отметка</w:t>
            </w:r>
            <w:r>
              <w:rPr>
                <w:color w:val="000000"/>
                <w:lang w:eastAsia="zh-CN"/>
              </w:rPr>
              <w:t xml:space="preserve">;</w:t>
            </w: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color w:val="000000"/>
                <w:lang w:eastAsia="zh-CN"/>
              </w:rPr>
            </w:pPr>
          </w:p>
          <w:p>
            <w:pPr>
              <w:ind w:firstLine="318"/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zh-CN"/>
              </w:rPr>
              <w:t xml:space="preserve">дымоход:</w:t>
            </w:r>
          </w:p>
          <w:p>
            <w:pPr>
              <w:ind w:firstLine="318"/>
            </w:pP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материал и характер отделки поверхности (кирпич красный неоштукатуренный)</w:t>
            </w:r>
            <w:r>
              <w:rPr>
                <w:rFonts w:ascii="Times New Roman CYR" w:hAnsi="Times New Roman CYR" w:cs="Times New Roman CYR"/>
                <w:color w:val="000000"/>
                <w:lang w:eastAsia="zh-CN"/>
              </w:rPr>
              <w:t xml:space="preserve">.</w:t>
            </w:r>
          </w:p>
        </w:tc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65020" cy="1511369"/>
                      <wp:effectExtent l="0" t="0" r="0" b="0"/>
                      <wp:docPr id="18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2068638" cy="1514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62.60pt;height:119.01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2805" cy="1274387"/>
                      <wp:effectExtent l="0" t="0" r="0" b="2540"/>
                      <wp:docPr id="19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>
                                <a:off x="0" y="0"/>
                                <a:ext cx="1903088" cy="1281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49.04pt;height:100.35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757555"/>
                      <wp:effectExtent l="0" t="0" r="1905" b="4445"/>
                      <wp:docPr id="20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2112645" cy="757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66.35pt;height:59.65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45945" cy="1216204"/>
                      <wp:effectExtent l="0" t="0" r="1905" b="3175"/>
                      <wp:docPr id="21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>
                                <a:off x="0" y="0"/>
                                <a:ext cx="1852568" cy="12205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45.35pt;height:95.76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6590" cy="1035685"/>
                      <wp:effectExtent l="0" t="0" r="635" b="0"/>
                      <wp:docPr id="22" name="Рисунок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1880654" cy="10434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46.98pt;height:81.55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87855" cy="1100256"/>
                      <wp:effectExtent l="0" t="0" r="0" b="5080"/>
                      <wp:docPr id="23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>
                              <a:xfrm>
                                <a:off x="0" y="0"/>
                                <a:ext cx="1905539" cy="1110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48.65pt;height:86.63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6777" cy="1645123"/>
                      <wp:effectExtent l="0" t="0" r="7620" b="0"/>
                      <wp:docPr id="24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>
                              <a:xfrm>
                                <a:off x="0" y="0"/>
                                <a:ext cx="1132127" cy="1667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87.94pt;height:129.54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534795"/>
                      <wp:effectExtent l="0" t="0" r="1905" b="8255"/>
                      <wp:docPr id="25" name="Рисуно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>
                              <a:xfrm>
                                <a:off x="0" y="0"/>
                                <a:ext cx="2112645" cy="1534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66.35pt;height:120.85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8377" cy="2185670"/>
                      <wp:effectExtent l="0" t="0" r="0" b="5080"/>
                      <wp:docPr id="26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>
                              <a:xfrm>
                                <a:off x="0" y="0"/>
                                <a:ext cx="1873745" cy="2191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47.12pt;height:172.10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5470" cy="1380867"/>
                      <wp:effectExtent l="0" t="0" r="0" b="0"/>
                      <wp:docPr id="27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>
                              <a:xfrm>
                                <a:off x="0" y="0"/>
                                <a:ext cx="1863900" cy="13871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46.10pt;height:108.73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56786" cy="1038679"/>
                      <wp:effectExtent l="0" t="0" r="5715" b="9525"/>
                      <wp:docPr id="28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>
                              <a:xfrm>
                                <a:off x="0" y="0"/>
                                <a:ext cx="1969949" cy="10456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54.08pt;height:81.79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8820" cy="1015033"/>
                      <wp:effectExtent l="0" t="0" r="0" b="0"/>
                      <wp:docPr id="29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>
                              <a:xfrm>
                                <a:off x="0" y="0"/>
                                <a:ext cx="1990998" cy="10161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56.60pt;height:79.92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1808" cy="1457325"/>
                      <wp:effectExtent l="0" t="0" r="2540" b="0"/>
                      <wp:docPr id="30" name="Рисунок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1546913" cy="14813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19.83pt;height:114.75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54638" cy="2738755"/>
                      <wp:effectExtent l="0" t="0" r="0" b="4445"/>
                      <wp:docPr id="31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>
                              <a:xfrm>
                                <a:off x="0" y="0"/>
                                <a:ext cx="1861164" cy="27483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46.03pt;height:215.65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13742" cy="1124644"/>
                      <wp:effectExtent l="0" t="0" r="1270" b="0"/>
                      <wp:docPr id="32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>
                                <a:off x="0" y="0"/>
                                <a:ext cx="1789798" cy="11745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34.94pt;height:88.55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55140" cy="1299342"/>
                      <wp:effectExtent l="0" t="0" r="0" b="0"/>
                      <wp:docPr id="33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>
                              <a:xfrm>
                                <a:off x="0" y="0"/>
                                <a:ext cx="1765169" cy="13067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38.20pt;height:102.31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08224" cy="1554410"/>
                      <wp:effectExtent l="0" t="0" r="1905" b="8255"/>
                      <wp:docPr id="34" name="Рисунок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>
                              <a:xfrm>
                                <a:off x="0" y="0"/>
                                <a:ext cx="1845676" cy="1586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42.38pt;height:122.39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591945"/>
                      <wp:effectExtent l="0" t="0" r="1905" b="8255"/>
                      <wp:docPr id="35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>
                              <a:xfrm>
                                <a:off x="0" y="0"/>
                                <a:ext cx="2112645" cy="15919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66.35pt;height:125.35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062990"/>
                      <wp:effectExtent l="0" t="0" r="1905" b="3810"/>
                      <wp:docPr id="36" name="Рисунок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>
                              <a:xfrm>
                                <a:off x="0" y="0"/>
                                <a:ext cx="2112645" cy="1062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66.35pt;height:83.70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452880"/>
                      <wp:effectExtent l="0" t="0" r="1905" b="0"/>
                      <wp:docPr id="37" name="Рисунок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>
                              <a:xfrm>
                                <a:off x="0" y="0"/>
                                <a:ext cx="2112645" cy="1452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66.35pt;height:114.40pt;mso-wrap-distance-left:0.00pt;mso-wrap-distance-top:0.00pt;mso-wrap-distance-right:0.00pt;mso-wrap-distance-bottom:0.0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2645" cy="1759585"/>
                      <wp:effectExtent l="0" t="0" r="1905" b="0"/>
                      <wp:docPr id="38" name="Рисунок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>
                              <a:xfrm>
                                <a:off x="0" y="0"/>
                                <a:ext cx="2112645" cy="1759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66.35pt;height:138.55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</w:p>
          <w:p>
            <w:pPr>
              <w:pStyle w:val="Default"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5535" cy="2543175"/>
                      <wp:effectExtent l="0" t="0" r="0" b="0"/>
                      <wp:docPr id="39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>
                              <a:xfrm>
                                <a:off x="0" y="0"/>
                                <a:ext cx="1637398" cy="2561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27.99pt;height:200.25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</w:p>
        </w:tc>
      </w:tr>
    </w:tbl>
    <w:p>
      <w:pPr>
        <w:ind w:left="-709" w:right="-340" w:firstLine="709"/>
        <w:rPr>
          <w:bCs/>
          <w:i/>
          <w:sz w:val="26"/>
          <w:szCs w:val="26"/>
        </w:rPr>
      </w:pPr>
    </w:p>
    <w:p>
      <w:pPr>
        <w:ind w:firstLine="426"/>
        <w:rPr>
          <w:i/>
          <w:iCs/>
          <w:color w:val="000000"/>
          <w:lang w:eastAsia="zh-CN"/>
        </w:rPr>
      </w:pPr>
      <w:r>
        <w:rPr>
          <w:i/>
          <w:iCs/>
          <w:color w:val="000000"/>
          <w:lang w:eastAsia="zh-CN"/>
        </w:rPr>
        <w:t xml:space="preserve">Предмет охраны может быть уточнен в процессе дополнительных историко- культурных исследований либо при проведении реставрационных </w:t>
      </w:r>
      <w:r>
        <w:rPr>
          <w:i/>
          <w:iCs/>
          <w:color w:val="000000"/>
          <w:lang w:eastAsia="zh-CN"/>
        </w:rPr>
        <w:t xml:space="preserve">работ</w:t>
      </w:r>
    </w:p>
    <w:sectPr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Times New Roman CYR">
    <w:panose1 w:val="02020603050405020304"/>
  </w:font>
  <w:font w:name="Symbol">
    <w:panose1 w:val="05010000000000000000"/>
  </w:font>
  <w:font w:name="Bookman Old Style">
    <w:panose1 w:val="02060603050605020204"/>
  </w:font>
  <w:font w:name="Courier New">
    <w:panose1 w:val="02070309020205020404"/>
  </w:font>
  <w:font w:name="Wingdings">
    <w:panose1 w:val="05010000000000000000"/>
  </w:font>
  <w:font w:name="Franklin Gothic Book">
    <w:panose1 w:val="020B0603020202020204"/>
  </w:font>
  <w:font w:name="Tahoma">
    <w:panose1 w:val="020B0604030504040204"/>
  </w:font>
  <w:font w:name="MS Mincho">
    <w:panose1 w:val="02020603050405090304"/>
  </w:font>
  <w:font w:name="Verdan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4BF8D49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152A430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192E5F54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B212CDA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8B0788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0582A0A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4E06A32E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A99C6F7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9C6EA0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multiLevelType w:val="hybridMultilevel"/>
    <w:lvl w:ilvl="0" w:tplc="663464D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378C3E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E3A141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2C6717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CCAFC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9CAEE6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37CFE6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8A282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C94D29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plc="F238E3E2">
      <w:start w:val="1"/>
      <w:numFmt w:val="decimal"/>
      <w:lvlText w:val="%1."/>
      <w:lvlJc w:val="left"/>
      <w:pPr>
        <w:ind w:left="1080" w:hanging="360"/>
      </w:pPr>
    </w:lvl>
    <w:lvl w:ilvl="1" w:tplc="0A025E80">
      <w:start w:val="1"/>
      <w:numFmt w:val="lowerLetter"/>
      <w:lvlText w:val="%2."/>
      <w:lvlJc w:val="left"/>
      <w:pPr>
        <w:ind w:left="1800" w:hanging="360"/>
      </w:pPr>
    </w:lvl>
    <w:lvl w:ilvl="2" w:tplc="D2629EFC">
      <w:start w:val="1"/>
      <w:numFmt w:val="lowerRoman"/>
      <w:lvlText w:val="%3."/>
      <w:lvlJc w:val="right"/>
      <w:pPr>
        <w:ind w:left="2520" w:hanging="180"/>
      </w:pPr>
    </w:lvl>
    <w:lvl w:ilvl="3" w:tplc="AF6424B0">
      <w:start w:val="1"/>
      <w:numFmt w:val="decimal"/>
      <w:lvlText w:val="%4."/>
      <w:lvlJc w:val="left"/>
      <w:pPr>
        <w:ind w:left="3240" w:hanging="360"/>
      </w:pPr>
    </w:lvl>
    <w:lvl w:ilvl="4" w:tplc="C5B667B2">
      <w:start w:val="1"/>
      <w:numFmt w:val="lowerLetter"/>
      <w:lvlText w:val="%5."/>
      <w:lvlJc w:val="left"/>
      <w:pPr>
        <w:ind w:left="3960" w:hanging="360"/>
      </w:pPr>
    </w:lvl>
    <w:lvl w:ilvl="5" w:tplc="98B85B14">
      <w:start w:val="1"/>
      <w:numFmt w:val="lowerRoman"/>
      <w:lvlText w:val="%6."/>
      <w:lvlJc w:val="right"/>
      <w:pPr>
        <w:ind w:left="4680" w:hanging="180"/>
      </w:pPr>
    </w:lvl>
    <w:lvl w:ilvl="6" w:tplc="91F0186C">
      <w:start w:val="1"/>
      <w:numFmt w:val="decimal"/>
      <w:lvlText w:val="%7."/>
      <w:lvlJc w:val="left"/>
      <w:pPr>
        <w:ind w:left="5400" w:hanging="360"/>
      </w:pPr>
    </w:lvl>
    <w:lvl w:ilvl="7" w:tplc="2B584E7C">
      <w:start w:val="1"/>
      <w:numFmt w:val="lowerLetter"/>
      <w:lvlText w:val="%8."/>
      <w:lvlJc w:val="left"/>
      <w:pPr>
        <w:ind w:left="6120" w:hanging="360"/>
      </w:pPr>
    </w:lvl>
    <w:lvl w:ilvl="8" w:tplc="3E0CD7D6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 w:tplc="0F3A86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DC64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296FBF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B161D0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A0407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20E5E3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B269A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4A09C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0724C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plc="60C836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E8C7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982C9A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FFC77B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BDCB1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EC2FEE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DABD3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5FAC0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E4604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plc="19FE72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4041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E84673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281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CC65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C2A532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4987EA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F1E89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DCA416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plc="040227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46265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F52B9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8E418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D41A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25CC43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AA4266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31457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2547CA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plc="F5347B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BEC6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C3693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22C84D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FD2E4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F44D1D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51E8F4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A7C93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C7268A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 w:tplc="EECA620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 w:tplc="979CD89C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 w:tplc="5FDE2EA2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7A74466E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4E78A090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 w:tplc="25325AC4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8C008174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C6424F5A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 w:tplc="A42A84F2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9">
    <w:multiLevelType w:val="hybridMultilevel"/>
    <w:lvl w:ilvl="0" w:tplc="641AA3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4AEA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6A4DFB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5F6BF6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1D837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86ED4C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FFC33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1843E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4D253F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 w:tplc="8F18381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</w:rPr>
    </w:lvl>
    <w:lvl w:ilvl="1" w:tplc="17381AC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A7CB8D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C758F37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EE08347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63A020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714735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B80186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C568A5C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multiLevelType w:val="hybridMultilevel"/>
    <w:lvl w:ilvl="0" w:tplc="C944E6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4FA26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3CE3B0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E0294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8A02B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A8C919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65C0FD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A0621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45CC01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 w:tplc="D6F28A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C8D06F5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8E8502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C0EA8706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9B9A0470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7AAC8A5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4123DB2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CEE1D2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78666E02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multiLevelType w:val="hybridMultilevel"/>
    <w:lvl w:ilvl="0" w:tplc="11683AB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C93A62F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101E8EA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C944E696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9D4C150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5B0CBA6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5E1E079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B7A48E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B0ECB3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multiLevelType w:val="hybridMultilevel"/>
    <w:lvl w:ilvl="0" w:tplc="F2621AF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32181D5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37FAC11E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FC4D200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949AF0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52D63A7A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D0AC4F4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01A824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F24D4C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multiLevelType w:val="hybridMultilevel"/>
    <w:lvl w:ilvl="0" w:tplc="8B84C56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18A0318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32ECC6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5300D2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A340EFC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A2E550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790426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9AABAF8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8E8A9B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multiLevelType w:val="hybridMultilevel"/>
    <w:lvl w:ilvl="0" w:tplc="68C4934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72D491F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72685DE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1FAD214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0FE6DCC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9BA47C7C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32B4A35E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0D2D6C4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C0CD86C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multiLevelType w:val="hybridMultilevel"/>
    <w:lvl w:ilvl="0" w:tplc="AFF4B19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C164D50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05CEF5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AA5610B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6EE7EF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49210E0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0EEEFD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33E5D3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C7CA50A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multiLevelType w:val="hybridMultilevel"/>
    <w:lvl w:ilvl="0" w:tplc="FEDA9B4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86D65D94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3DC394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BEFC4BB6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42CBC8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4590099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6BB6C16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7D2BBE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EA49CD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multiLevelType w:val="hybridMultilevel"/>
    <w:lvl w:ilvl="0" w:tplc="1BCE30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C456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A3AE92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C9ECA9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08EAF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A907AF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996AF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8AA1E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604E74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 w:tplc="BDD4DF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BE7E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3F0398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384696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C3C5B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CBCCA7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32CA16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8321A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FE0D19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 w:tplc="6E86764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45E4BD2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347E12E4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61A5A60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BFE1A40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0C0172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AB692E4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BD701D1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16A40ADA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multiLevelType w:val="hybridMultilevel"/>
    <w:lvl w:ilvl="0" w:tplc="839A1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EF2C08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95FA01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49EA07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D1B6AB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F534521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CBA82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B828679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69B6E8E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23">
    <w:multiLevelType w:val="hybridMultilevel"/>
    <w:lvl w:ilvl="0" w:tplc="1F8A5B0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9F3A1E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7F01A2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2808DB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9204E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3CAEEB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34E297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A08F4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47071C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multiLevelType w:val="hybridMultilevel"/>
    <w:lvl w:ilvl="0" w:tplc="5404AE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C41F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4FAECA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C2C3E1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D2039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616BA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78057F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A3058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98EAC9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multiLevelType w:val="hybridMultilevel"/>
    <w:lvl w:ilvl="0" w:tplc="949CD3A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plc="68364930">
      <w:start w:val="1"/>
      <w:numFmt w:val="lowerLetter"/>
      <w:lvlText w:val="%2."/>
      <w:lvlJc w:val="left"/>
      <w:pPr>
        <w:ind w:left="1440" w:hanging="360"/>
      </w:pPr>
    </w:lvl>
    <w:lvl w:ilvl="2" w:tplc="4454CFB0">
      <w:start w:val="1"/>
      <w:numFmt w:val="lowerRoman"/>
      <w:lvlText w:val="%3."/>
      <w:lvlJc w:val="right"/>
      <w:pPr>
        <w:ind w:left="2160" w:hanging="180"/>
      </w:pPr>
    </w:lvl>
    <w:lvl w:ilvl="3" w:tplc="4B6E34A6">
      <w:start w:val="1"/>
      <w:numFmt w:val="decimal"/>
      <w:lvlText w:val="%4."/>
      <w:lvlJc w:val="left"/>
      <w:pPr>
        <w:ind w:left="2880" w:hanging="360"/>
      </w:pPr>
    </w:lvl>
    <w:lvl w:ilvl="4" w:tplc="3C0CE586">
      <w:start w:val="1"/>
      <w:numFmt w:val="lowerLetter"/>
      <w:lvlText w:val="%5."/>
      <w:lvlJc w:val="left"/>
      <w:pPr>
        <w:ind w:left="3600" w:hanging="360"/>
      </w:pPr>
    </w:lvl>
    <w:lvl w:ilvl="5" w:tplc="FAD8BC34">
      <w:start w:val="1"/>
      <w:numFmt w:val="lowerRoman"/>
      <w:lvlText w:val="%6."/>
      <w:lvlJc w:val="right"/>
      <w:pPr>
        <w:ind w:left="4320" w:hanging="180"/>
      </w:pPr>
    </w:lvl>
    <w:lvl w:ilvl="6" w:tplc="AAE8FECC">
      <w:start w:val="1"/>
      <w:numFmt w:val="decimal"/>
      <w:lvlText w:val="%7."/>
      <w:lvlJc w:val="left"/>
      <w:pPr>
        <w:ind w:left="5040" w:hanging="360"/>
      </w:pPr>
    </w:lvl>
    <w:lvl w:ilvl="7" w:tplc="7BD8707A">
      <w:start w:val="1"/>
      <w:numFmt w:val="lowerLetter"/>
      <w:lvlText w:val="%8."/>
      <w:lvlJc w:val="left"/>
      <w:pPr>
        <w:ind w:left="5760" w:hanging="360"/>
      </w:pPr>
    </w:lvl>
    <w:lvl w:ilvl="8" w:tplc="781E8176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 w:tplc="E928209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B94ABCEE">
      <w:start w:val="1"/>
      <w:numFmt w:val="lowerLetter"/>
      <w:lvlText w:val="%2."/>
      <w:lvlJc w:val="left"/>
      <w:pPr>
        <w:ind w:left="2036" w:hanging="360"/>
      </w:pPr>
    </w:lvl>
    <w:lvl w:ilvl="2" w:tplc="B0C8755A">
      <w:start w:val="1"/>
      <w:numFmt w:val="lowerRoman"/>
      <w:lvlText w:val="%3."/>
      <w:lvlJc w:val="right"/>
      <w:pPr>
        <w:ind w:left="2756" w:hanging="180"/>
      </w:pPr>
    </w:lvl>
    <w:lvl w:ilvl="3" w:tplc="8D8E2C90">
      <w:start w:val="1"/>
      <w:numFmt w:val="decimal"/>
      <w:lvlText w:val="%4."/>
      <w:lvlJc w:val="left"/>
      <w:pPr>
        <w:ind w:left="3476" w:hanging="360"/>
      </w:pPr>
    </w:lvl>
    <w:lvl w:ilvl="4" w:tplc="13341D2A">
      <w:start w:val="1"/>
      <w:numFmt w:val="lowerLetter"/>
      <w:lvlText w:val="%5."/>
      <w:lvlJc w:val="left"/>
      <w:pPr>
        <w:ind w:left="4196" w:hanging="360"/>
      </w:pPr>
    </w:lvl>
    <w:lvl w:ilvl="5" w:tplc="25E297F6">
      <w:start w:val="1"/>
      <w:numFmt w:val="lowerRoman"/>
      <w:lvlText w:val="%6."/>
      <w:lvlJc w:val="right"/>
      <w:pPr>
        <w:ind w:left="4916" w:hanging="180"/>
      </w:pPr>
    </w:lvl>
    <w:lvl w:ilvl="6" w:tplc="3BE66042">
      <w:start w:val="1"/>
      <w:numFmt w:val="decimal"/>
      <w:lvlText w:val="%7."/>
      <w:lvlJc w:val="left"/>
      <w:pPr>
        <w:ind w:left="5636" w:hanging="360"/>
      </w:pPr>
    </w:lvl>
    <w:lvl w:ilvl="7" w:tplc="46FC9EE8">
      <w:start w:val="1"/>
      <w:numFmt w:val="lowerLetter"/>
      <w:lvlText w:val="%8."/>
      <w:lvlJc w:val="left"/>
      <w:pPr>
        <w:ind w:left="6356" w:hanging="360"/>
      </w:pPr>
    </w:lvl>
    <w:lvl w:ilvl="8" w:tplc="93EC5042">
      <w:start w:val="1"/>
      <w:numFmt w:val="lowerRoman"/>
      <w:lvlText w:val="%9."/>
      <w:lvlJc w:val="right"/>
      <w:pPr>
        <w:ind w:left="7076" w:hanging="180"/>
      </w:pPr>
    </w:lvl>
  </w:abstractNum>
  <w:abstractNum w:abstractNumId="27">
    <w:multiLevelType w:val="hybridMultilevel"/>
    <w:lvl w:ilvl="0" w:tplc="DCD0B8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5003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D208B2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C9CAC2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D78B9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B8A23D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DBC08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C9699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CFC397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 w:tplc="F2927A8E">
      <w:start w:val="1"/>
      <w:numFmt w:val="bullet"/>
      <w:lvlText w:val="-"/>
      <w:lvlJc w:val="left"/>
      <w:pPr>
        <w:ind w:left="720" w:hanging="360"/>
      </w:pPr>
    </w:lvl>
    <w:lvl w:ilvl="1" w:tplc="408C84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6928D2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FE679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C3C4D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67607C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06A348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818FF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6E0A00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multiLevelType w:val="hybridMultilevel"/>
    <w:lvl w:ilvl="0" w:tplc="4F4EBE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1A1B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9E8B8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A2A5D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BE8F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EB0D30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5B4D44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E57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28E6B6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 w:tplc="7722EF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eastAsia="Times New Roman" w:cs="Times New Roman"/>
        <w:sz w:val="28"/>
      </w:rPr>
    </w:lvl>
    <w:lvl w:ilvl="1" w:tplc="7D26BC7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FC434F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7AE87BB4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A30F978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284A12B8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69185784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64CCF4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A566A6E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multiLevelType w:val="hybridMultilevel"/>
    <w:lvl w:ilvl="0" w:tplc="D916BF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E7E183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4A68E27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F6B064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D41D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100C0CD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432653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20FD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B432776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num w:numId="1">
    <w:abstractNumId w:val="18"/>
  </w:num>
  <w:num w:numId="2">
    <w:abstractNumId w:val="9"/>
  </w:num>
  <w:num w:numId="3">
    <w:abstractNumId w:val="23"/>
  </w:num>
  <w:num w:numId="4">
    <w:abstractNumId w:val="20"/>
  </w:num>
  <w:num w:numId="5">
    <w:abstractNumId w:val="24"/>
  </w:num>
  <w:num w:numId="6">
    <w:abstractNumId w:val="6"/>
  </w:num>
  <w:num w:numId="7">
    <w:abstractNumId w:val="5"/>
  </w:num>
  <w:num w:numId="8">
    <w:abstractNumId w:val="27"/>
  </w:num>
  <w:num w:numId="9">
    <w:abstractNumId w:val="11"/>
  </w:num>
  <w:num w:numId="10">
    <w:abstractNumId w:val="29"/>
  </w:num>
  <w:num w:numId="11">
    <w:abstractNumId w:val="19"/>
  </w:num>
  <w:num w:numId="12">
    <w:abstractNumId w:val="3"/>
  </w:num>
  <w:num w:numId="13">
    <w:abstractNumId w:val="1"/>
  </w:num>
  <w:num w:numId="14">
    <w:abstractNumId w:val="4"/>
  </w:num>
  <w:num w:numId="15">
    <w:abstractNumId w:val="8"/>
  </w:num>
  <w:num w:numId="16">
    <w:abstractNumId w:val="7"/>
  </w:num>
  <w:num w:numId="17">
    <w:abstractNumId w:val="28"/>
  </w:num>
  <w:num w:numId="18">
    <w:abstractNumId w:val="25"/>
  </w:num>
  <w:num w:numId="19">
    <w:abstractNumId w:val="10"/>
  </w:num>
  <w:num w:numId="20">
    <w:abstractNumId w:val="31"/>
  </w:num>
  <w:num w:numId="21">
    <w:abstractNumId w:val="2"/>
  </w:num>
  <w:num w:numId="22">
    <w:abstractNumId w:val="21"/>
  </w:num>
  <w:num w:numId="23">
    <w:abstractNumId w:val="30"/>
  </w:num>
  <w:num w:numId="24">
    <w:abstractNumId w:val="14"/>
  </w:num>
  <w:num w:numId="25">
    <w:abstractNumId w:val="12"/>
  </w:num>
  <w:num w:numId="26">
    <w:abstractNumId w:val="16"/>
  </w:num>
  <w:num w:numId="27">
    <w:abstractNumId w:val="17"/>
  </w:num>
  <w:num w:numId="28">
    <w:abstractNumId w:val="15"/>
  </w:num>
  <w:num w:numId="29">
    <w:abstractNumId w:val="13"/>
  </w:num>
  <w:num w:numId="30">
    <w:abstractNumId w:val="0"/>
  </w:num>
  <w:num w:numId="31">
    <w:abstractNumId w:val="2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pPr>
      <w:keepNext/>
      <w:jc w:val="both"/>
      <w:outlineLvl w:val="1"/>
    </w:pPr>
    <w:rPr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-142"/>
      </w:tabs>
      <w:ind w:right="-381"/>
      <w:outlineLvl w:val="2"/>
    </w:pPr>
    <w:rPr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-142"/>
      </w:tabs>
      <w:ind w:right="567"/>
      <w:outlineLvl w:val="4"/>
    </w:pPr>
    <w:rPr>
      <w:sz w:val="28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pPr>
      <w:keepNext/>
      <w:ind w:left="112" w:hanging="112"/>
      <w:outlineLvl w:val="5"/>
    </w:pPr>
    <w:rPr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color w:val="00000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pPr>
      <w:keepNext/>
      <w:ind w:right="-99"/>
      <w:outlineLvl w:val="7"/>
    </w:pPr>
    <w:rPr>
      <w:b/>
      <w:sz w:val="28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pPr>
      <w:keepNext/>
      <w:jc w:val="both"/>
      <w:outlineLvl w:val="8"/>
    </w:pPr>
    <w:rPr>
      <w:b/>
      <w:sz w:val="28"/>
      <w:szCs w:val="20"/>
      <w:lang w:val="en-US" w:eastAsia="en-US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Heading1Char" w:customStyle="1">
    <w:name w:val="Heading 1 Char"/>
    <w:basedOn w:val="a0"/>
    <w:uiPriority w:val="9"/>
    <w:rPr>
      <w:rFonts w:ascii="Arial" w:hAnsi="Arial" w:eastAsia="Arial" w:cs="Arial"/>
      <w:sz w:val="40"/>
      <w:szCs w:val="40"/>
    </w:rPr>
  </w:style>
  <w:style w:type="character" w:styleId="TitleChar" w:customStyle="1">
    <w:name w:val="Title Char"/>
    <w:basedOn w:val="a0"/>
    <w:uiPriority w:val="10"/>
    <w:rPr>
      <w:sz w:val="48"/>
      <w:szCs w:val="48"/>
    </w:rPr>
  </w:style>
  <w:style w:type="character" w:styleId="SubtitleChar" w:customStyle="1">
    <w:name w:val="Subtitle Char"/>
    <w:basedOn w:val="a0"/>
    <w:uiPriority w:val="11"/>
    <w:rPr>
      <w:sz w:val="24"/>
      <w:szCs w:val="24"/>
    </w:rPr>
  </w:style>
  <w:style w:type="character" w:styleId="QuoteChar" w:customStyle="1">
    <w:name w:val="Quote Char"/>
    <w:uiPriority w:val="29"/>
    <w:rPr>
      <w:i/>
    </w:rPr>
  </w:style>
  <w:style w:type="character" w:styleId="IntenseQuoteChar" w:customStyle="1">
    <w:name w:val="Intense Quote Char"/>
    <w:uiPriority w:val="30"/>
    <w:rPr>
      <w:i/>
    </w:rPr>
  </w:style>
  <w:style w:type="character" w:styleId="CaptionChar" w:customStyle="1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styleId="FootnoteTextChar" w:customStyle="1">
    <w:name w:val="Footnote Text Char"/>
    <w:uiPriority w:val="99"/>
    <w:rPr>
      <w:sz w:val="18"/>
    </w:rPr>
  </w:style>
  <w:style w:type="character" w:styleId="EndnoteTextChar" w:customStyle="1">
    <w:name w:val="Endnote Text Char"/>
    <w:uiPriority w:val="99"/>
    <w:rPr>
      <w:sz w:val="20"/>
    </w:rPr>
  </w:style>
  <w:style w:type="character" w:styleId="10" w:customStyle="1">
    <w:name w:val="Заголовок 1 Знак"/>
    <w:link w:val="1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a5" w:customStyle="1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styleId="a7" w:customStyle="1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styleId="22" w:customStyle="1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a9" w:customStyle="1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HeaderChar" w:customStyle="1">
    <w:name w:val="Header Char"/>
    <w:uiPriority w:val="99"/>
  </w:style>
  <w:style w:type="paragraph" w:styleId="ac">
    <w:name w:val="footer"/>
    <w:basedOn w:val="a"/>
    <w:link w:val="ad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FooterChar" w:customStyle="1">
    <w:name w:val="Footer Char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af" w:customStyle="1">
    <w:name w:val="Название объекта Знак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TableGridLight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1Horz"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</w:style>
  <w:style w:type="table" w:styleId="GridTable1Light-Accent2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</w:style>
  <w:style w:type="table" w:styleId="GridTable1Light-Accent3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styleId="GridTable1Light-Accent4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styleId="GridTable1Light-Accent5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</w:style>
  <w:style w:type="table" w:styleId="GridTable1Light-Accent6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2-Accent1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</w:style>
  <w:style w:type="table" w:styleId="GridTable2-Accent2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2-Accent3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2-Accent4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2-Accent5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2-Accent6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3-Accent1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</w:style>
  <w:style w:type="table" w:styleId="GridTable3-Accent2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3-Accent3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3-Accent4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3-Accent5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3-Accent6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</w:style>
  <w:style w:type="table" w:styleId="GridTable4-Accent1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styleId="GridTable4-Accent2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GridTable4-Accent3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GridTable4-Accent4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GridTable4-Accent5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GridTable4-Accent6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band1Horz">
      <w:tcPr>
        <w:shd w:val="clear" w:color="8a8a8a" w:themeColor="text1" w:themeTint="75" w:fill="8a8a8a" w:themeFill="text1" w:themeFillTint="75"/>
      </w:tcPr>
    </w:tblStylePr>
  </w:style>
  <w:style w:type="table" w:styleId="GridTable5Dark-Accent1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band1Horz">
      <w:tcPr>
        <w:shd w:val="clear" w:color="aec4e0" w:themeColor="accent1" w:themeTint="75" w:fill="aec4e0" w:themeFill="accent1" w:themeFillTint="75"/>
      </w:tcPr>
    </w:tblStylePr>
  </w:style>
  <w:style w:type="table" w:styleId="GridTable5Dark-Accent2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styleId="GridTable5Dark-Accent3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band1Horz">
      <w:tcPr>
        <w:shd w:val="clear" w:color="d0dfb2" w:themeColor="accent3" w:themeTint="75" w:fill="d0dfb2" w:themeFill="accent3" w:themeFillTint="75"/>
      </w:tcPr>
    </w:tblStylePr>
  </w:style>
  <w:style w:type="table" w:styleId="GridTable5Dark-Accent4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styleId="GridTable5Dark-Accent5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styleId="GridTable5Dark-Accent6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tcPr>
        <w:shd w:val="clear" w:color="bfbfbf" w:themeColor="text1" w:themeTint="40" w:fill="bfbfbf" w:themeFill="text1" w:themeFillTint="40"/>
      </w:tcPr>
    </w:tblStylePr>
  </w:style>
  <w:style w:type="table" w:styleId="ListTable1Light-Accent1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styleId="ListTable1Light-Accent2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tcPr>
        <w:shd w:val="clear" w:color="efd2d2" w:themeColor="accent2" w:themeTint="40" w:fill="efd2d2" w:themeFill="accent2" w:themeFillTint="40"/>
      </w:tcPr>
    </w:tblStylePr>
  </w:style>
  <w:style w:type="table" w:styleId="ListTable1Light-Accent3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tcPr>
        <w:shd w:val="clear" w:color="e5eed5" w:themeColor="accent3" w:themeTint="40" w:fill="e5eed5" w:themeFill="accent3" w:themeFillTint="40"/>
      </w:tcPr>
    </w:tblStylePr>
  </w:style>
  <w:style w:type="table" w:styleId="ListTable1Light-Accent4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styleId="ListTable1Light-Accent5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styleId="ListTable1Light-Accent6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</w:style>
  <w:style w:type="table" w:styleId="ListTable2-Accent1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styleId="ListTable2-Accent2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</w:style>
  <w:style w:type="table" w:styleId="ListTable2-Accent3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</w:style>
  <w:style w:type="table" w:styleId="ListTable2-Accent4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styleId="ListTable2-Accent5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styleId="ListTable2-Accent6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styleId="ListTable3-Accent2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</w:style>
  <w:style w:type="table" w:styleId="ListTable3-Accent3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</w:style>
  <w:style w:type="table" w:styleId="ListTable3-Accent4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styleId="ListTable3-Accent5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styleId="ListTable3-Accent6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</w:style>
  <w:style w:type="table" w:styleId="ListTable4-Accent1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styleId="ListTable4-Accent2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</w:style>
  <w:style w:type="table" w:styleId="ListTable4-Accent3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</w:style>
  <w:style w:type="table" w:styleId="ListTable4-Accent4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styleId="ListTable4-Accent5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styleId="ListTable4-Accent6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styleId="ListTable5Dark-Accent2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695" w:themeColor="accent2" w:themeTint="97" w:sz="32" w:space="0"/>
          <w:bottom w:val="single" w:color="FFFFFF" w:themeColor="light1" w:sz="12" w:space="0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B" w:themeColor="accent3" w:themeTint="98" w:sz="32" w:space="0"/>
          <w:bottom w:val="single" w:color="FFFFFF" w:themeColor="light1" w:sz="12" w:space="0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ned-Accent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styleId="Lined-Accent2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Lined-Accent3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Lined-Accent4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Lined-Accent5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Lined-Accent6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BorderedLined-Accent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styleId="BorderedLined-Accent2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styleId="BorderedLined-Accent3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</w:style>
  <w:style w:type="table" w:styleId="BorderedLined-Accent4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styleId="BorderedLined-Accent5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styleId="BorderedLined-Accent6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</w:style>
  <w:style w:type="table" w:styleId="Bordered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</w:style>
  <w:style w:type="table" w:styleId="Bordered-Accent2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</w:style>
  <w:style w:type="table" w:styleId="Bordered-Accent3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styleId="Bordered-Accent4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styleId="Bordered-Accent5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</w:style>
  <w:style w:type="table" w:styleId="Bordered-Accent6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styleId="af3" w:customStyle="1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styleId="af6" w:customStyle="1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13" w:customStyle="1">
    <w:name w:val="Знак Знак1 Знак Знак"/>
    <w:basedOn w:val="a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ConsPlusNonformat" w:customStyle="1">
    <w:name w:val="ConsPlusNonformat"/>
    <w:pPr>
      <w:widowControl w:val="off"/>
    </w:pPr>
    <w:rPr>
      <w:rFonts w:ascii="Courier New" w:hAnsi="Courier New" w:cs="Courier New"/>
      <w:lang w:eastAsia="ru-RU"/>
    </w:rPr>
  </w:style>
  <w:style w:type="paragraph" w:styleId="afa">
    <w:name w:val="List Paragraph"/>
    <w:basedOn w:val="a"/>
    <w:uiPriority w:val="99"/>
    <w:qFormat/>
    <w:pPr>
      <w:ind w:left="720"/>
      <w:contextualSpacing/>
    </w:p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styleId="afc" w:customStyle="1">
    <w:name w:val="Текст выноски Знак"/>
    <w:link w:val="afb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pPr>
      <w:spacing w:before="60"/>
      <w:ind w:left="-284"/>
      <w:jc w:val="center"/>
    </w:pPr>
    <w:rPr>
      <w:b/>
      <w:spacing w:val="30"/>
      <w:szCs w:val="20"/>
      <w:lang w:val="en-US" w:eastAsia="en-US"/>
    </w:rPr>
  </w:style>
  <w:style w:type="character" w:styleId="afe" w:customStyle="1">
    <w:name w:val="Основной текст с отступом Знак"/>
    <w:link w:val="afd"/>
    <w:rPr>
      <w:b/>
      <w:spacing w:val="30"/>
      <w:sz w:val="24"/>
      <w:lang w:val="en-US" w:eastAsia="en-US"/>
    </w:rPr>
  </w:style>
  <w:style w:type="paragraph" w:styleId="110" w:customStyle="1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40" w:customStyle="1">
    <w:name w:val="Заголовок 4 Знак"/>
    <w:link w:val="4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aff">
    <w:name w:val="Body Text"/>
    <w:basedOn w:val="a"/>
    <w:link w:val="aff0"/>
    <w:pPr>
      <w:spacing w:after="120"/>
    </w:pPr>
    <w:rPr>
      <w:lang w:val="en-US" w:eastAsia="en-US"/>
    </w:rPr>
  </w:style>
  <w:style w:type="character" w:styleId="aff0" w:customStyle="1">
    <w:name w:val="Основной текст Знак"/>
    <w:link w:val="aff"/>
    <w:rPr>
      <w:sz w:val="24"/>
      <w:szCs w:val="24"/>
    </w:rPr>
  </w:style>
  <w:style w:type="character" w:styleId="20" w:customStyle="1">
    <w:name w:val="Заголовок 2 Знак"/>
    <w:link w:val="2"/>
    <w:rPr>
      <w:sz w:val="28"/>
    </w:rPr>
  </w:style>
  <w:style w:type="character" w:styleId="30" w:customStyle="1">
    <w:name w:val="Заголовок 3 Знак"/>
    <w:link w:val="3"/>
    <w:rPr>
      <w:sz w:val="28"/>
    </w:rPr>
  </w:style>
  <w:style w:type="character" w:styleId="50" w:customStyle="1">
    <w:name w:val="Заголовок 5 Знак"/>
    <w:link w:val="5"/>
    <w:rPr>
      <w:sz w:val="28"/>
    </w:rPr>
  </w:style>
  <w:style w:type="character" w:styleId="60" w:customStyle="1">
    <w:name w:val="Заголовок 6 Знак"/>
    <w:link w:val="6"/>
    <w:rPr>
      <w:color w:val="000000"/>
      <w:sz w:val="24"/>
    </w:rPr>
  </w:style>
  <w:style w:type="character" w:styleId="70" w:customStyle="1">
    <w:name w:val="Заголовок 7 Знак"/>
    <w:link w:val="7"/>
    <w:rPr>
      <w:b/>
      <w:color w:val="000000"/>
      <w:sz w:val="24"/>
    </w:rPr>
  </w:style>
  <w:style w:type="character" w:styleId="80" w:customStyle="1">
    <w:name w:val="Заголовок 8 Знак"/>
    <w:link w:val="8"/>
    <w:rPr>
      <w:b/>
      <w:sz w:val="28"/>
    </w:rPr>
  </w:style>
  <w:style w:type="character" w:styleId="90" w:customStyle="1">
    <w:name w:val="Заголовок 9 Знак"/>
    <w:link w:val="9"/>
    <w:rPr>
      <w:b/>
      <w:sz w:val="28"/>
    </w:rPr>
  </w:style>
  <w:style w:type="paragraph" w:styleId="25">
    <w:name w:val="Body Text 2"/>
    <w:basedOn w:val="a"/>
    <w:link w:val="26"/>
    <w:pPr>
      <w:jc w:val="center"/>
    </w:pPr>
    <w:rPr>
      <w:sz w:val="32"/>
      <w:szCs w:val="20"/>
      <w:lang w:val="en-US" w:eastAsia="en-US"/>
    </w:rPr>
  </w:style>
  <w:style w:type="character" w:styleId="26" w:customStyle="1">
    <w:name w:val="Основной текст 2 Знак"/>
    <w:link w:val="25"/>
    <w:rPr>
      <w:sz w:val="32"/>
    </w:rPr>
  </w:style>
  <w:style w:type="paragraph" w:styleId="aff1">
    <w:name w:val="Block Text"/>
    <w:basedOn w:val="a"/>
    <w:pPr>
      <w:ind w:left="993" w:right="567" w:hanging="633"/>
    </w:pPr>
    <w:rPr>
      <w:sz w:val="28"/>
      <w:szCs w:val="20"/>
    </w:rPr>
  </w:style>
  <w:style w:type="paragraph" w:styleId="33">
    <w:name w:val="Body Text Indent 3"/>
    <w:basedOn w:val="a"/>
    <w:link w:val="34"/>
    <w:pPr>
      <w:ind w:left="28" w:hanging="28"/>
    </w:pPr>
    <w:rPr>
      <w:szCs w:val="20"/>
      <w:lang w:val="en-US" w:eastAsia="en-US"/>
    </w:rPr>
  </w:style>
  <w:style w:type="character" w:styleId="34" w:customStyle="1">
    <w:name w:val="Основной текст с отступом 3 Знак"/>
    <w:link w:val="33"/>
    <w:rPr>
      <w:sz w:val="24"/>
    </w:rPr>
  </w:style>
  <w:style w:type="character" w:styleId="ab" w:customStyle="1">
    <w:name w:val="Верхний колонтитул Знак"/>
    <w:basedOn w:val="a0"/>
    <w:link w:val="aa"/>
  </w:style>
  <w:style w:type="paragraph" w:styleId="27">
    <w:name w:val="Body Text Indent 2"/>
    <w:basedOn w:val="a"/>
    <w:link w:val="28"/>
    <w:pPr>
      <w:ind w:firstLine="709"/>
      <w:jc w:val="both"/>
    </w:pPr>
    <w:rPr>
      <w:sz w:val="28"/>
      <w:szCs w:val="20"/>
      <w:lang w:val="en-US" w:eastAsia="en-US"/>
    </w:rPr>
  </w:style>
  <w:style w:type="character" w:styleId="28" w:customStyle="1">
    <w:name w:val="Основной текст с отступом 2 Знак"/>
    <w:link w:val="27"/>
    <w:rPr>
      <w:sz w:val="28"/>
    </w:rPr>
  </w:style>
  <w:style w:type="character" w:styleId="ad" w:customStyle="1">
    <w:name w:val="Нижний колонтитул Знак"/>
    <w:basedOn w:val="a0"/>
    <w:link w:val="ac"/>
  </w:style>
  <w:style w:type="paragraph" w:styleId="35">
    <w:name w:val="Body Text 3"/>
    <w:basedOn w:val="a"/>
    <w:link w:val="36"/>
    <w:rPr>
      <w:sz w:val="28"/>
      <w:szCs w:val="20"/>
      <w:lang w:val="en-US" w:eastAsia="en-US"/>
    </w:rPr>
  </w:style>
  <w:style w:type="character" w:styleId="36" w:customStyle="1">
    <w:name w:val="Основной текст 3 Знак"/>
    <w:link w:val="35"/>
    <w:rPr>
      <w:sz w:val="28"/>
    </w:rPr>
  </w:style>
  <w:style w:type="paragraph" w:styleId="aff2">
    <w:name w:val="Document Map"/>
    <w:basedOn w:val="a"/>
    <w:link w:val="aff3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aff3" w:customStyle="1">
    <w:name w:val="Схема документа Знак"/>
    <w:link w:val="aff2"/>
    <w:rPr>
      <w:rFonts w:ascii="Tahoma" w:hAnsi="Tahoma" w:cs="Tahoma"/>
      <w:shd w:val="clear" w:color="auto" w:fill="000080"/>
    </w:rPr>
  </w:style>
  <w:style w:type="character" w:styleId="aff4">
    <w:name w:val="page number"/>
  </w:style>
  <w:style w:type="paragraph" w:styleId="Style5" w:customStyle="1">
    <w:name w:val="Style5"/>
    <w:basedOn w:val="a"/>
    <w:pPr>
      <w:widowControl w:val="off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styleId="Style6" w:customStyle="1">
    <w:name w:val="Style6"/>
    <w:basedOn w:val="a"/>
    <w:pPr>
      <w:widowControl w:val="off"/>
      <w:spacing w:line="288" w:lineRule="exact"/>
    </w:pPr>
    <w:rPr>
      <w:rFonts w:ascii="Bookman Old Style" w:hAnsi="Bookman Old Style" w:cs="Bookman Old Style"/>
    </w:rPr>
  </w:style>
  <w:style w:type="paragraph" w:styleId="Style2" w:customStyle="1">
    <w:name w:val="Style2"/>
    <w:basedOn w:val="a"/>
    <w:pPr>
      <w:widowControl w:val="off"/>
    </w:pPr>
  </w:style>
  <w:style w:type="paragraph" w:styleId="Style7" w:customStyle="1">
    <w:name w:val="Style7"/>
    <w:basedOn w:val="a"/>
    <w:pPr>
      <w:widowControl w:val="off"/>
      <w:spacing w:line="255" w:lineRule="exact"/>
      <w:jc w:val="center"/>
    </w:pPr>
  </w:style>
  <w:style w:type="character" w:styleId="FontStyle11" w:customStyle="1">
    <w:name w:val="Font Style11"/>
    <w:rPr>
      <w:rFonts w:ascii="Times New Roman" w:hAnsi="Times New Roman" w:cs="Times New Roman"/>
      <w:sz w:val="22"/>
      <w:szCs w:val="22"/>
    </w:rPr>
  </w:style>
  <w:style w:type="character" w:styleId="FontStyle12" w:customStyle="1">
    <w:name w:val="Font Style12"/>
    <w:rPr>
      <w:rFonts w:ascii="Times New Roman" w:hAnsi="Times New Roman" w:cs="Times New Roman"/>
      <w:sz w:val="20"/>
      <w:szCs w:val="20"/>
    </w:rPr>
  </w:style>
  <w:style w:type="paragraph" w:styleId="TableParagraph" w:customStyle="1">
    <w:name w:val="Table Paragraph"/>
    <w:basedOn w:val="a"/>
    <w:uiPriority w:val="1"/>
    <w:qFormat/>
    <w:pPr>
      <w:widowControl w:val="off"/>
      <w:spacing w:line="270" w:lineRule="exact"/>
      <w:ind w:left="105"/>
    </w:pPr>
    <w:rPr>
      <w:sz w:val="22"/>
      <w:szCs w:val="22"/>
      <w:lang w:bidi="ru-RU"/>
    </w:rPr>
  </w:style>
  <w:style w:type="character" w:styleId="Bodytext" w:customStyle="1">
    <w:name w:val="Body text_"/>
    <w:link w:val="29"/>
    <w:uiPriority w:val="99"/>
    <w:rPr>
      <w:sz w:val="23"/>
      <w:shd w:val="clear" w:color="auto" w:fill="ffffff"/>
    </w:rPr>
  </w:style>
  <w:style w:type="paragraph" w:styleId="29" w:customStyle="1">
    <w:name w:val="Основной текст2"/>
    <w:basedOn w:val="a"/>
    <w:link w:val="Bodytext"/>
    <w:uiPriority w:val="99"/>
    <w:pPr>
      <w:shd w:val="clear" w:color="auto" w:fill="ffffff"/>
      <w:spacing w:before="240" w:after="3360" w:line="240" w:lineRule="atLeast"/>
    </w:pPr>
    <w:rPr>
      <w:sz w:val="23"/>
      <w:szCs w:val="20"/>
      <w:lang w:val="en-US" w:eastAsia="en-US"/>
    </w:rPr>
  </w:style>
  <w:style w:type="character" w:styleId="aff5">
    <w:name w:val="annotation reference"/>
    <w:rPr>
      <w:sz w:val="16"/>
      <w:szCs w:val="16"/>
    </w:rPr>
  </w:style>
  <w:style w:type="paragraph" w:styleId="aff6">
    <w:name w:val="annotation text"/>
    <w:basedOn w:val="a"/>
    <w:link w:val="aff7"/>
    <w:rPr>
      <w:sz w:val="20"/>
      <w:szCs w:val="20"/>
    </w:rPr>
  </w:style>
  <w:style w:type="character" w:styleId="aff7" w:customStyle="1">
    <w:name w:val="Текст примечания Знак"/>
    <w:basedOn w:val="a0"/>
    <w:link w:val="aff6"/>
  </w:style>
  <w:style w:type="paragraph" w:styleId="aff8">
    <w:name w:val="annotation subject"/>
    <w:basedOn w:val="aff6"/>
    <w:next w:val="aff6"/>
    <w:link w:val="aff9"/>
    <w:rPr>
      <w:b/>
      <w:bCs/>
    </w:rPr>
  </w:style>
  <w:style w:type="character" w:styleId="aff9" w:customStyle="1">
    <w:name w:val="Тема примечания Знак"/>
    <w:link w:val="aff8"/>
    <w:rPr>
      <w:b/>
      <w:bCs/>
    </w:rPr>
  </w:style>
  <w:style w:type="table" w:styleId="14" w:customStyle="1">
    <w:name w:val="Сетка таблицы1"/>
    <w:basedOn w:val="a1"/>
    <w:next w:val="af0"/>
    <w:uiPriority w:val="39"/>
    <w:rPr>
      <w:rFonts w:ascii="Calibri" w:hAnsi="Calibri" w:eastAsia="Calibri"/>
      <w:sz w:val="22"/>
      <w:szCs w:val="22"/>
      <w:lang w:eastAsia="en-US"/>
    </w:r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Style1" w:customStyle="1">
    <w:name w:val="Style1"/>
    <w:basedOn w:val="a"/>
    <w:qFormat/>
    <w:pPr>
      <w:spacing w:line="276" w:lineRule="auto"/>
      <w:jc w:val="both"/>
    </w:pPr>
    <w:rPr>
      <w:rFonts w:eastAsia="Calibri"/>
      <w:sz w:val="27"/>
      <w:lang w:eastAsia="en-US"/>
    </w:rPr>
  </w:style>
  <w:style w:type="paragraph" w:styleId="Default" w:customStyle="1">
    <w:name w:val="Default"/>
    <w:rPr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haracters>12916</Characters>
  <CharactersWithSpaces>15151</CharactersWithSpaces>
  <Company>Microsoft</Company>
  <DocSecurity>0</DocSecurity>
  <HyperlinksChanged>false</HyperlinksChanged>
  <Lines>107</Lines>
  <LinksUpToDate>false</LinksUpToDate>
  <Pages>1</Pages>
  <Paragraphs>30</Paragraphs>
  <ScaleCrop>false</ScaleCrop>
  <SharedDoc>false</SharedDoc>
  <Template>Normal.dotm</Template>
  <TotalTime>230</TotalTime>
  <Words>2265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me_rinnus</cp:lastModifiedBy>
  <cp:revision>9</cp:revision>
  <dcterms:created xsi:type="dcterms:W3CDTF">2026-06-17T09:25:00Z</dcterms:created>
  <dcterms:modified xsi:type="dcterms:W3CDTF">2026-06-17T13:15:00Z</dcterms:modified>
  <cp:version>983040</cp:version>
</cp:coreProperties>
</file>