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786" cy="7165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9786" cy="71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87pt;height:56.42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left="0" w:right="-286" w:firstLine="0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28"/>
          <w:szCs w:val="28"/>
        </w:rPr>
      </w:r>
      <w:r>
        <w:rPr>
          <w:spacing w:val="30"/>
          <w:sz w:val="28"/>
          <w:szCs w:val="28"/>
        </w:rPr>
      </w:r>
    </w:p>
    <w:p>
      <w:pPr>
        <w:pStyle w:val="916"/>
        <w:ind w:left="0" w:right="-286" w:firstLine="0"/>
        <w:jc w:val="center"/>
        <w:rPr>
          <w:b/>
          <w:spacing w:val="30"/>
          <w:sz w:val="28"/>
          <w:szCs w:val="28"/>
          <w:lang w:eastAsia="en-US"/>
        </w:rPr>
      </w:pPr>
      <w:r>
        <w:rPr>
          <w:b/>
          <w:spacing w:val="30"/>
          <w:sz w:val="28"/>
          <w:szCs w:val="28"/>
          <w:lang w:val="en-US"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 xml:space="preserve">ПО СОХРАНЕНИЮ КУЛЬТУРНОГО НАСЛЕДИЯ ЛЕНИНГРАДСКОЙ ОБЛАСТИ</w:t>
      </w:r>
      <w:r>
        <w:rPr>
          <w:b/>
          <w:spacing w:val="30"/>
          <w:sz w:val="28"/>
          <w:szCs w:val="28"/>
          <w:lang w:eastAsia="en-US"/>
        </w:rPr>
      </w:r>
      <w:r>
        <w:rPr>
          <w:b/>
          <w:spacing w:val="30"/>
          <w:sz w:val="28"/>
          <w:szCs w:val="28"/>
          <w:lang w:eastAsia="en-US"/>
        </w:rPr>
      </w:r>
    </w:p>
    <w:p>
      <w:pPr>
        <w:pStyle w:val="916"/>
        <w:ind w:left="0" w:right="-286" w:firstLine="0"/>
        <w:jc w:val="center"/>
        <w:rPr>
          <w:sz w:val="2"/>
          <w:szCs w:val="28"/>
        </w:rPr>
        <w:pBdr>
          <w:bottom w:val="single" w:color="000000" w:sz="12" w:space="1"/>
        </w:pBd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p>
      <w:pPr>
        <w:pStyle w:val="916"/>
        <w:ind w:left="567" w:right="-286"/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</w:p>
    <w:p>
      <w:pPr>
        <w:pStyle w:val="916"/>
        <w:ind w:left="0" w:right="-28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6"/>
        <w:ind w:left="567" w:right="-286"/>
        <w:jc w:val="center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jc w:val="right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«___</w:t>
      </w:r>
      <w:r>
        <w:rPr>
          <w:sz w:val="28"/>
          <w:szCs w:val="28"/>
        </w:rPr>
        <w:t xml:space="preserve">»____________2026</w:t>
      </w:r>
      <w:r>
        <w:rPr>
          <w:sz w:val="28"/>
          <w:szCs w:val="28"/>
        </w:rPr>
        <w:t xml:space="preserve"> г.   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№________________</w:t>
      </w:r>
      <w:r>
        <w:rPr>
          <w:sz w:val="28"/>
          <w:szCs w:val="28"/>
        </w:rPr>
        <w:t xml:space="preserve">        Санкт-Петербург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rPr>
          <w:sz w:val="28"/>
          <w:szCs w:val="28"/>
          <w:u w:val="single"/>
        </w:rPr>
      </w:pPr>
      <w:r/>
      <w:bookmarkEnd w:id="0"/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pStyle w:val="916"/>
        <w:jc w:val="center"/>
      </w:pPr>
      <w:r>
        <w:rPr>
          <w:b/>
          <w:sz w:val="28"/>
          <w:szCs w:val="28"/>
        </w:rPr>
        <w:t xml:space="preserve">О  </w:t>
      </w:r>
      <w:r>
        <w:rPr>
          <w:b/>
          <w:sz w:val="28"/>
          <w:szCs w:val="28"/>
        </w:rPr>
        <w:t xml:space="preserve">включении выявленного объекта культурного наследия </w:t>
        <w:br/>
        <w:t xml:space="preserve">«</w:t>
      </w:r>
      <w:r>
        <w:rPr>
          <w:b/>
          <w:sz w:val="28"/>
          <w:szCs w:val="28"/>
        </w:rPr>
        <w:t xml:space="preserve">Богадельня военного и морского </w:t>
      </w:r>
      <w:r>
        <w:rPr>
          <w:b/>
          <w:sz w:val="28"/>
          <w:szCs w:val="28"/>
        </w:rPr>
        <w:t xml:space="preserve">духовенства им. Протопресвитера Желобовского», расположенного по адресу: Ленинградская </w:t>
      </w:r>
      <w:r>
        <w:rPr>
          <w:b/>
          <w:sz w:val="28"/>
          <w:szCs w:val="28"/>
        </w:rPr>
      </w:r>
      <w:r/>
      <w:r>
        <w:rPr>
          <w:b/>
          <w:sz w:val="28"/>
          <w:szCs w:val="28"/>
        </w:rPr>
        <w:t xml:space="preserve">область, Гатчинский муниципальный район, Гатчинское городское поселение, </w:t>
      </w:r>
      <w:r>
        <w:rPr>
          <w:b/>
          <w:sz w:val="28"/>
          <w:szCs w:val="28"/>
        </w:rPr>
        <w:t xml:space="preserve">город Гатчина, улица Карла Маркса, здание 44, </w:t>
      </w:r>
      <w:r>
        <w:rPr>
          <w:b/>
          <w:bCs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</w:t>
      </w:r>
      <w:r>
        <w:rPr>
          <w:b/>
          <w:sz w:val="28"/>
          <w:szCs w:val="28"/>
        </w:rPr>
        <w:t xml:space="preserve"> утверждении границ территории и предмета охраны</w:t>
      </w:r>
      <w:r>
        <w:rPr>
          <w:b/>
          <w:sz w:val="28"/>
          <w:szCs w:val="28"/>
        </w:rPr>
      </w:r>
      <w:r/>
      <w:r/>
    </w:p>
    <w:p>
      <w:pPr>
        <w:pStyle w:val="9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6"/>
        <w:ind w:firstLine="540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В соответствии со ст. 3.1, 5.1, 9.2, 18, 33 Федераль</w:t>
      </w:r>
      <w:r>
        <w:rPr>
          <w:sz w:val="28"/>
          <w:szCs w:val="28"/>
        </w:rPr>
        <w:t xml:space="preserve">ного закона от 25 июня 2002 года № 73-ФЗ «Об объектах культурного наследия (памятниках истории </w:t>
        <w:br/>
        <w:t xml:space="preserve"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</w:t>
      </w:r>
      <w:r>
        <w:rPr>
          <w:sz w:val="28"/>
          <w:szCs w:val="28"/>
        </w:rPr>
        <w:t xml:space="preserve">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 декабря 2020 года № 839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«Об органах исполнительной власти Ленинградской области в сфере культуры </w:t>
        <w:br/>
        <w:t xml:space="preserve">и туризма»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</w:t>
        <w:br/>
        <w:t xml:space="preserve">от 3 октября 2011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954, п.</w:t>
      </w:r>
      <w:r>
        <w:rPr>
          <w:sz w:val="28"/>
          <w:szCs w:val="28"/>
        </w:rPr>
        <w:t xml:space="preserve">п.</w:t>
      </w:r>
      <w:r>
        <w:rPr>
          <w:sz w:val="28"/>
          <w:szCs w:val="28"/>
        </w:rPr>
        <w:t xml:space="preserve"> 2.1.2, 2.3.7 Положения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от 24 декабря 2020 года № 850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положительного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государственной историко-культу</w:t>
      </w:r>
      <w:r>
        <w:rPr>
          <w:sz w:val="28"/>
          <w:szCs w:val="28"/>
        </w:rPr>
        <w:t xml:space="preserve">рной экспертизы, выполненной </w:t>
      </w:r>
      <w:r>
        <w:rPr>
          <w:sz w:val="28"/>
          <w:szCs w:val="28"/>
        </w:rPr>
        <w:t xml:space="preserve">экспертной организацией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ОО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Союз экспертов Северо-Запада</w:t>
      </w:r>
      <w:r>
        <w:rPr>
          <w:sz w:val="28"/>
          <w:szCs w:val="28"/>
        </w:rPr>
        <w:t xml:space="preserve">» (аттестованный эксперт</w:t>
      </w:r>
      <w:r>
        <w:rPr>
          <w:sz w:val="28"/>
          <w:szCs w:val="28"/>
        </w:rPr>
        <w:t xml:space="preserve"> Штиглиц Маргарита Сергеевна</w:t>
      </w:r>
      <w:r>
        <w:rPr>
          <w:sz w:val="28"/>
          <w:szCs w:val="28"/>
        </w:rPr>
        <w:t xml:space="preserve">, приказ Министерства культуры Российской Федерации</w:t>
      </w:r>
      <w:r>
        <w:rPr>
          <w:sz w:val="28"/>
          <w:szCs w:val="28"/>
        </w:rPr>
        <w:t xml:space="preserve"> от 29 марта 2023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776, от 25 октября 2025 №1838, от 02 апреля 2026 </w:t>
        <w:br/>
        <w:t xml:space="preserve">№ 626</w:t>
      </w:r>
      <w:r>
        <w:rPr>
          <w:sz w:val="28"/>
          <w:szCs w:val="28"/>
        </w:rPr>
        <w:t xml:space="preserve">), </w:t>
      </w:r>
      <w:r>
        <w:rPr>
          <w:b w:val="0"/>
          <w:bCs w:val="0"/>
          <w:sz w:val="28"/>
          <w:szCs w:val="28"/>
        </w:rPr>
      </w:r>
      <w:r>
        <w:rPr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ind w:firstLine="540"/>
        <w:jc w:val="both"/>
        <w:rPr>
          <w:b w:val="0"/>
          <w:bCs w:val="0"/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540"/>
        <w:jc w:val="both"/>
        <w:rPr>
          <w:b w:val="0"/>
          <w:bCs w:val="0"/>
          <w:sz w:val="28"/>
          <w:szCs w:val="28"/>
          <w:highlight w:val="none"/>
        </w:rPr>
      </w:pPr>
      <w:r>
        <w:rPr>
          <w:b w:val="0"/>
          <w:bCs w:val="0"/>
          <w:sz w:val="28"/>
          <w:szCs w:val="28"/>
        </w:rPr>
        <w:t xml:space="preserve">приказываю:</w:t>
      </w: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</w:p>
    <w:p>
      <w:pPr>
        <w:pStyle w:val="970"/>
        <w:ind w:left="0" w:right="0" w:firstLine="709"/>
        <w:jc w:val="both"/>
        <w:widowControl w:val="off"/>
        <w:tabs>
          <w:tab w:val="num" w:pos="709" w:leader="none"/>
          <w:tab w:val="clear" w:pos="1260" w:leader="none"/>
          <w:tab w:val="left" w:pos="1836" w:leader="none"/>
        </w:tabs>
      </w:pPr>
      <w:r>
        <w:rPr>
          <w:sz w:val="28"/>
          <w:szCs w:val="28"/>
        </w:rPr>
        <w:t xml:space="preserve">1. Включить выявленный объект культурного наследия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Богадельня военного и морского духовенства им. Протопресвитера Желобовского»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расположенный </w:t>
        <w:br/>
        <w:t xml:space="preserve">по адресу: Ленинградская область, </w:t>
      </w:r>
      <w:r>
        <w:rPr>
          <w:sz w:val="28"/>
          <w:szCs w:val="28"/>
        </w:rPr>
        <w:t xml:space="preserve">Ленинградская </w:t>
      </w:r>
      <w:r>
        <w:rPr>
          <w:sz w:val="28"/>
          <w:szCs w:val="28"/>
        </w:rPr>
        <w:t xml:space="preserve">область, Гатчинский муниципальный район, Гатчинское городское поселение, </w:t>
      </w:r>
      <w:r>
        <w:rPr>
          <w:sz w:val="28"/>
          <w:szCs w:val="28"/>
        </w:rPr>
        <w:t xml:space="preserve">город Гатчина, улица Карла Маркса, здание 44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</w:t>
      </w:r>
      <w:r>
        <w:rPr>
          <w:sz w:val="28"/>
          <w:szCs w:val="28"/>
        </w:rPr>
        <w:t xml:space="preserve">Российской Федерации </w:t>
        <w:br/>
        <w:t xml:space="preserve">в качестве объекта культурного наследия регионального значения </w:t>
      </w:r>
      <w:r>
        <w:rPr>
          <w:sz w:val="28"/>
          <w:szCs w:val="28"/>
        </w:rPr>
        <w:t xml:space="preserve">с наименованием: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«Богадельня </w:t>
      </w:r>
      <w:r>
        <w:rPr>
          <w:sz w:val="28"/>
          <w:szCs w:val="28"/>
        </w:rPr>
        <w:t xml:space="preserve">военного и морского духовенства им. Протопресвитера Желобовского», 1905-</w:t>
      </w:r>
      <w:r>
        <w:rPr>
          <w:sz w:val="28"/>
          <w:szCs w:val="28"/>
        </w:rPr>
        <w:t xml:space="preserve">1906 гг., воен. инж. В.П. Локтев, расположенный по адресу: Ленинградская </w:t>
      </w:r>
      <w:r>
        <w:rPr>
          <w:sz w:val="28"/>
          <w:szCs w:val="28"/>
        </w:rPr>
        <w:t xml:space="preserve">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улица Карла Маркса, </w:t>
      </w:r>
      <w:r>
        <w:rPr>
          <w:sz w:val="28"/>
          <w:szCs w:val="28"/>
        </w:rPr>
        <w:t xml:space="preserve">здание 44, вид объекта культурного наследия – памятник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16"/>
        <w:ind w:left="0" w:firstLine="0"/>
        <w:jc w:val="both"/>
        <w:tabs>
          <w:tab w:val="left" w:pos="709" w:leader="none"/>
          <w:tab w:val="left" w:pos="1260" w:leader="none"/>
        </w:tabs>
      </w:pPr>
      <w:r>
        <w:rPr>
          <w:sz w:val="28"/>
          <w:szCs w:val="28"/>
        </w:rPr>
        <w:tab/>
        <w:t xml:space="preserve"> 2. Утвердить границы территории</w:t>
      </w:r>
      <w:r>
        <w:rPr>
          <w:sz w:val="28"/>
          <w:szCs w:val="28"/>
        </w:rPr>
        <w:t xml:space="preserve"> 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«Богадельня военного и морского духовенства </w:t>
        <w:br/>
        <w:t xml:space="preserve">им. Протопресвитера Желобовского»</w:t>
      </w:r>
      <w:r>
        <w:rPr>
          <w:sz w:val="28"/>
          <w:szCs w:val="28"/>
        </w:rPr>
        <w:t xml:space="preserve">, расположенного по адресу: </w:t>
      </w:r>
      <w:r>
        <w:rPr>
          <w:sz w:val="28"/>
          <w:szCs w:val="28"/>
        </w:rPr>
        <w:t xml:space="preserve">Ленинградская </w:t>
      </w:r>
      <w:r>
        <w:rPr>
          <w:sz w:val="28"/>
          <w:szCs w:val="28"/>
        </w:rPr>
        <w:t xml:space="preserve">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улица Карла Маркса, </w:t>
      </w:r>
      <w:r>
        <w:rPr>
          <w:sz w:val="28"/>
          <w:szCs w:val="28"/>
        </w:rPr>
        <w:t xml:space="preserve">здание 44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сог</w:t>
      </w:r>
      <w:r>
        <w:rPr>
          <w:sz w:val="28"/>
          <w:szCs w:val="28"/>
        </w:rPr>
        <w:t xml:space="preserve">ласно приложению </w:t>
      </w:r>
      <w:r>
        <w:rPr>
          <w:sz w:val="28"/>
          <w:szCs w:val="28"/>
        </w:rPr>
        <w:t xml:space="preserve">№ 1 к настоящему приказу.</w:t>
      </w:r>
      <w:r>
        <w:rPr>
          <w:sz w:val="28"/>
          <w:szCs w:val="28"/>
        </w:rPr>
      </w:r>
      <w:r/>
    </w:p>
    <w:p>
      <w:pPr>
        <w:pStyle w:val="916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3. Утвердит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 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культурного наследия регионального </w:t>
      </w:r>
      <w:r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«Богадельня военного и морского духовенства им. Протопресвитера Желобовского», расположенного по адресу: </w:t>
      </w:r>
      <w:r>
        <w:rPr>
          <w:sz w:val="28"/>
          <w:szCs w:val="28"/>
        </w:rPr>
        <w:t xml:space="preserve">Ленинградская </w:t>
      </w:r>
      <w:r>
        <w:rPr>
          <w:sz w:val="28"/>
          <w:szCs w:val="28"/>
        </w:rPr>
        <w:t xml:space="preserve">область, </w:t>
      </w:r>
      <w:r>
        <w:rPr>
          <w:sz w:val="28"/>
          <w:szCs w:val="28"/>
        </w:rPr>
        <w:t xml:space="preserve">Гатчинский </w:t>
      </w:r>
      <w:r>
        <w:rPr>
          <w:sz w:val="28"/>
          <w:szCs w:val="28"/>
        </w:rPr>
        <w:t xml:space="preserve">муниципальный округ, город Гатчина, улица Карла Маркса, </w:t>
      </w:r>
      <w:r>
        <w:rPr>
          <w:sz w:val="28"/>
          <w:szCs w:val="28"/>
        </w:rPr>
        <w:t xml:space="preserve">здание 44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16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4. Исключить </w:t>
      </w:r>
      <w:r>
        <w:rPr>
          <w:sz w:val="28"/>
          <w:szCs w:val="28"/>
        </w:rPr>
        <w:t xml:space="preserve">выявленный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«Богадельня военного и морского духовенства им. Протопресвитера Желобовского», расположенный по адресу: </w:t>
      </w:r>
      <w:r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Ленинградская </w:t>
      </w:r>
      <w:r>
        <w:rPr>
          <w:sz w:val="28"/>
          <w:szCs w:val="28"/>
        </w:rPr>
        <w:t xml:space="preserve">область, Гатчинский муниципальный район, Гатчинское городское поселение, </w:t>
      </w:r>
      <w:r>
        <w:rPr>
          <w:sz w:val="28"/>
          <w:szCs w:val="28"/>
        </w:rPr>
        <w:t xml:space="preserve">город Гатчина, улица Карла Маркса, здание 44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включенный п</w:t>
      </w:r>
      <w:r>
        <w:rPr>
          <w:sz w:val="28"/>
          <w:szCs w:val="28"/>
        </w:rPr>
        <w:t xml:space="preserve">риказом комитета по сохранению культурного наследия Ленинградской области от 01.02.2022 № 01-03-22/21</w:t>
      </w:r>
      <w:r>
        <w:rPr>
          <w:sz w:val="28"/>
          <w:szCs w:val="28"/>
        </w:rPr>
        <w:t xml:space="preserve">, </w:t>
        <w:br/>
      </w:r>
      <w:r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 xml:space="preserve">П</w:t>
      </w:r>
      <w:r>
        <w:rPr>
          <w:bCs/>
          <w:sz w:val="28"/>
          <w:szCs w:val="28"/>
        </w:rPr>
        <w:t xml:space="preserve">еречня выявленных объектов культурного наследия, расположенных </w:t>
        <w:br/>
      </w:r>
      <w:r>
        <w:rPr>
          <w:bCs/>
          <w:sz w:val="28"/>
          <w:szCs w:val="28"/>
        </w:rPr>
        <w:t xml:space="preserve">на территории Ленинградской области.</w:t>
      </w:r>
      <w:r>
        <w:rPr>
          <w:sz w:val="28"/>
          <w:szCs w:val="28"/>
        </w:rPr>
      </w:r>
      <w:r/>
    </w:p>
    <w:p>
      <w:pPr>
        <w:pStyle w:val="916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</w:t>
      </w: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</w:t>
      </w:r>
      <w:r>
        <w:rPr>
          <w:sz w:val="28"/>
          <w:szCs w:val="28"/>
        </w:rPr>
        <w:t xml:space="preserve"> обеспечить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внесение сведений об объекте культурного наследия </w:t>
      </w:r>
      <w:r>
        <w:rPr>
          <w:sz w:val="28"/>
          <w:szCs w:val="28"/>
        </w:rPr>
        <w:t xml:space="preserve">местного (муниципального)</w:t>
      </w:r>
      <w:r>
        <w:rPr>
          <w:sz w:val="28"/>
          <w:szCs w:val="28"/>
        </w:rPr>
        <w:t xml:space="preserve"> значения, указанном в п. 1 настоящего приказа,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копи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настоящего приказа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сроки, установленные действующим законодательством, в территориальный орган федерального органа исполнительной власти, уполномоченного Правите</w:t>
      </w:r>
      <w:r>
        <w:rPr>
          <w:sz w:val="28"/>
          <w:szCs w:val="28"/>
        </w:rPr>
        <w:t xml:space="preserve">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0"/>
        <w:ind w:left="0" w:firstLine="284"/>
        <w:jc w:val="both"/>
        <w:rPr>
          <w:sz w:val="28"/>
          <w:szCs w:val="27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письменно</w:t>
      </w:r>
      <w:r>
        <w:rPr>
          <w:sz w:val="28"/>
          <w:szCs w:val="28"/>
        </w:rPr>
        <w:t xml:space="preserve">го уведомления</w:t>
      </w:r>
      <w:r>
        <w:rPr>
          <w:sz w:val="28"/>
          <w:szCs w:val="28"/>
        </w:rPr>
        <w:t xml:space="preserve"> собственнику или иному законному владельцу объекта культурного наследия </w:t>
      </w:r>
      <w:r>
        <w:rPr>
          <w:sz w:val="28"/>
          <w:szCs w:val="28"/>
        </w:rPr>
        <w:t xml:space="preserve">местного (муниципального) значения,</w:t>
      </w:r>
      <w:r>
        <w:rPr>
          <w:sz w:val="28"/>
          <w:szCs w:val="28"/>
        </w:rPr>
        <w:t xml:space="preserve"> земельного участка в границах 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</w:t>
      </w:r>
      <w:r>
        <w:rPr>
          <w:sz w:val="28"/>
          <w:szCs w:val="28"/>
        </w:rPr>
        <w:t xml:space="preserve">, указанного в п.1 настоящего приказа</w:t>
      </w:r>
      <w:r>
        <w:rPr>
          <w:sz w:val="28"/>
          <w:szCs w:val="27"/>
        </w:rPr>
        <w:t xml:space="preserve">.</w:t>
      </w:r>
      <w:r>
        <w:rPr>
          <w:sz w:val="28"/>
          <w:szCs w:val="27"/>
        </w:rPr>
      </w:r>
      <w:r>
        <w:rPr>
          <w:sz w:val="28"/>
          <w:szCs w:val="27"/>
        </w:rPr>
      </w:r>
    </w:p>
    <w:p>
      <w:pPr>
        <w:pStyle w:val="916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Сектору делопро</w:t>
      </w:r>
      <w:r>
        <w:rPr>
          <w:sz w:val="28"/>
          <w:szCs w:val="28"/>
        </w:rPr>
        <w:t xml:space="preserve">изводства и информационного обеспечения комитета 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документов»в информационно-телекоммуникационной сети «Интернет».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 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8. Настоящий приказ вступает в силу со дня его официального опубликования.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6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  <w:tab/>
        <w:tab/>
        <w:tab/>
        <w:tab/>
        <w:tab/>
        <w:t xml:space="preserve">  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314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51"/>
        <w:gridCol w:w="496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1" w:type="dxa"/>
            <w:vAlign w:val="top"/>
            <w:textDirection w:val="lrTb"/>
            <w:noWrap w:val="false"/>
          </w:tcPr>
          <w:p>
            <w:pPr>
              <w:pStyle w:val="91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</w:t>
            </w: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вопросам развития и сохранения </w:t>
            </w:r>
            <w:r>
              <w:rPr>
                <w:sz w:val="28"/>
                <w:szCs w:val="28"/>
              </w:rPr>
              <w:t xml:space="preserve">культурного наследия – </w:t>
            </w:r>
            <w:r>
              <w:rPr>
                <w:sz w:val="28"/>
                <w:szCs w:val="28"/>
              </w:rPr>
              <w:t xml:space="preserve">председатель комитета </w:t>
            </w:r>
            <w:r>
              <w:rPr>
                <w:sz w:val="28"/>
                <w:szCs w:val="28"/>
              </w:rPr>
              <w:t xml:space="preserve">по сохранению </w:t>
            </w:r>
            <w:r>
              <w:rPr>
                <w:sz w:val="28"/>
                <w:szCs w:val="28"/>
              </w:rPr>
              <w:t xml:space="preserve">культурного наследия </w:t>
            </w:r>
            <w:r>
              <w:rPr>
                <w:sz w:val="28"/>
                <w:szCs w:val="28"/>
              </w:rPr>
              <w:t xml:space="preserve">Ленинградской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63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1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В.О. Цой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6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1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contextualSpacing/>
        <w:jc w:val="left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contextualSpacing/>
        <w:jc w:val="center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  <w:t xml:space="preserve">Границы территории объекта культурного наследия регионального значения «Богадельня военного и морского духовенства им. </w:t>
      </w:r>
      <w:r>
        <w:rPr>
          <w:b/>
          <w:sz w:val="27"/>
          <w:szCs w:val="27"/>
          <w:highlight w:val="none"/>
        </w:rPr>
        <w:t xml:space="preserve">Протопресвитера Желобовского», расположенного по адресу: </w:t>
      </w:r>
      <w:r>
        <w:rPr>
          <w:b/>
          <w:bCs/>
          <w:sz w:val="27"/>
          <w:szCs w:val="27"/>
        </w:rPr>
        <w:t xml:space="preserve">Ленинградская </w:t>
      </w:r>
      <w:r>
        <w:rPr>
          <w:b/>
          <w:bCs/>
          <w:sz w:val="27"/>
          <w:szCs w:val="27"/>
        </w:rPr>
        <w:t xml:space="preserve">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улица Карла Маркса, </w:t>
      </w:r>
      <w:r>
        <w:rPr>
          <w:b/>
          <w:bCs/>
          <w:sz w:val="27"/>
          <w:szCs w:val="27"/>
        </w:rPr>
        <w:t xml:space="preserve">здание 44</w: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contextualSpacing/>
        <w:jc w:val="center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pStyle w:val="931"/>
        <w:numPr>
          <w:ilvl w:val="0"/>
          <w:numId w:val="32"/>
        </w:numPr>
        <w:ind w:left="567" w:right="0" w:hanging="266"/>
        <w:jc w:val="left"/>
        <w:spacing w:before="0" w:after="0" w:line="240" w:lineRule="auto"/>
        <w:tabs>
          <w:tab w:val="left" w:pos="1042" w:leader="none"/>
        </w:tabs>
        <w:rPr>
          <w:b/>
          <w:sz w:val="27"/>
        </w:rPr>
      </w:pPr>
      <w:r>
        <w:rPr>
          <w:b/>
          <w:spacing w:val="-2"/>
          <w:sz w:val="27"/>
        </w:rPr>
        <w:t xml:space="preserve">Текстовое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описание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территории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объекта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культурного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984"/>
        <w:ind w:left="0" w:right="283" w:firstLine="425"/>
        <w:jc w:val="both"/>
        <w:spacing w:before="45" w:line="240" w:lineRule="auto"/>
      </w:pPr>
      <w:r>
        <w:t xml:space="preserve">Границы</w:t>
      </w:r>
      <w:r>
        <w:rPr>
          <w:spacing w:val="-4"/>
        </w:rPr>
        <w:t xml:space="preserve"> </w:t>
      </w:r>
      <w:r>
        <w:t xml:space="preserve">территории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4"/>
        </w:rPr>
        <w:t xml:space="preserve"> </w:t>
      </w:r>
      <w:r>
        <w:t xml:space="preserve">проходят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4"/>
        </w:rPr>
        <w:t xml:space="preserve"> </w:t>
      </w:r>
      <w:r>
        <w:t xml:space="preserve">точки</w:t>
      </w:r>
      <w:r>
        <w:rPr>
          <w:spacing w:val="-4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до</w:t>
      </w:r>
      <w:r>
        <w:rPr>
          <w:spacing w:val="-4"/>
        </w:rPr>
        <w:t xml:space="preserve"> </w:t>
      </w:r>
      <w:r>
        <w:t xml:space="preserve">точки</w:t>
      </w:r>
      <w:r>
        <w:rPr>
          <w:spacing w:val="-3"/>
        </w:rPr>
        <w:t xml:space="preserve"> </w:t>
      </w:r>
      <w:r>
        <w:t xml:space="preserve">3</w:t>
      </w:r>
      <w:r>
        <w:rPr>
          <w:spacing w:val="-4"/>
        </w:rPr>
        <w:t xml:space="preserve"> </w:t>
      </w:r>
      <w:r>
        <w:t xml:space="preserve">через</w:t>
      </w:r>
      <w:r>
        <w:rPr>
          <w:spacing w:val="-4"/>
        </w:rPr>
        <w:t xml:space="preserve"> </w:t>
      </w:r>
      <w:r>
        <w:t xml:space="preserve">точку</w:t>
      </w:r>
      <w:r>
        <w:rPr>
          <w:spacing w:val="-4"/>
        </w:rPr>
        <w:t xml:space="preserve"> </w:t>
      </w:r>
      <w:r>
        <w:t xml:space="preserve">2</w:t>
      </w:r>
      <w:r>
        <w:t xml:space="preserve"> </w:t>
        <w:br/>
        <w:t xml:space="preserve">на</w:t>
      </w:r>
      <w:r>
        <w:rPr>
          <w:spacing w:val="-11"/>
        </w:rPr>
        <w:t xml:space="preserve"> </w:t>
      </w:r>
      <w:r>
        <w:t xml:space="preserve">восток,</w:t>
      </w:r>
      <w:r>
        <w:rPr>
          <w:spacing w:val="-11"/>
        </w:rPr>
        <w:t xml:space="preserve"> </w:t>
      </w:r>
      <w:r>
        <w:t xml:space="preserve">от</w:t>
      </w:r>
      <w:r>
        <w:rPr>
          <w:spacing w:val="-10"/>
        </w:rPr>
        <w:t xml:space="preserve"> </w:t>
      </w:r>
      <w:r>
        <w:t xml:space="preserve">точки</w:t>
      </w:r>
      <w:r>
        <w:rPr>
          <w:spacing w:val="-11"/>
        </w:rPr>
        <w:t xml:space="preserve"> </w:t>
      </w:r>
      <w:r>
        <w:t xml:space="preserve">3</w:t>
      </w:r>
      <w:r>
        <w:rPr>
          <w:spacing w:val="-10"/>
        </w:rPr>
        <w:t xml:space="preserve"> </w:t>
      </w:r>
      <w:r>
        <w:t xml:space="preserve">до</w:t>
      </w:r>
      <w:r>
        <w:rPr>
          <w:spacing w:val="-10"/>
        </w:rPr>
        <w:t xml:space="preserve"> </w:t>
      </w:r>
      <w:r>
        <w:t xml:space="preserve">точки</w:t>
      </w:r>
      <w:r>
        <w:rPr>
          <w:spacing w:val="-10"/>
        </w:rPr>
        <w:t xml:space="preserve"> </w:t>
      </w:r>
      <w:r>
        <w:t xml:space="preserve">6</w:t>
      </w:r>
      <w:r>
        <w:rPr>
          <w:spacing w:val="-11"/>
        </w:rPr>
        <w:t xml:space="preserve"> </w:t>
      </w:r>
      <w:r>
        <w:t xml:space="preserve">через</w:t>
      </w:r>
      <w:r>
        <w:rPr>
          <w:spacing w:val="-11"/>
        </w:rPr>
        <w:t xml:space="preserve"> </w:t>
      </w:r>
      <w:r>
        <w:t xml:space="preserve">точки</w:t>
      </w:r>
      <w:r>
        <w:rPr>
          <w:spacing w:val="-11"/>
        </w:rPr>
        <w:t xml:space="preserve"> </w:t>
      </w:r>
      <w:r>
        <w:t xml:space="preserve">4-5</w:t>
      </w:r>
      <w:r>
        <w:rPr>
          <w:spacing w:val="-10"/>
        </w:rPr>
        <w:t xml:space="preserve"> </w:t>
      </w:r>
      <w:r>
        <w:t xml:space="preserve">на</w:t>
      </w:r>
      <w:r>
        <w:rPr>
          <w:spacing w:val="-11"/>
        </w:rPr>
        <w:t xml:space="preserve"> </w:t>
      </w:r>
      <w:r>
        <w:t xml:space="preserve">юго-запад,</w:t>
      </w:r>
      <w:r>
        <w:rPr>
          <w:spacing w:val="-11"/>
        </w:rPr>
        <w:t xml:space="preserve"> </w:t>
        <w:br/>
      </w:r>
      <w:r>
        <w:t xml:space="preserve">от</w:t>
      </w:r>
      <w:r>
        <w:rPr>
          <w:spacing w:val="-10"/>
        </w:rPr>
        <w:t xml:space="preserve"> </w:t>
      </w:r>
      <w:r>
        <w:t xml:space="preserve">точки</w:t>
      </w:r>
      <w:r>
        <w:rPr>
          <w:spacing w:val="-11"/>
        </w:rPr>
        <w:t xml:space="preserve"> </w:t>
      </w:r>
      <w:r>
        <w:t xml:space="preserve">6</w:t>
      </w:r>
      <w:r>
        <w:rPr>
          <w:spacing w:val="-10"/>
        </w:rPr>
        <w:t xml:space="preserve"> </w:t>
      </w:r>
      <w:r>
        <w:t xml:space="preserve">до</w:t>
      </w:r>
      <w:r>
        <w:rPr>
          <w:spacing w:val="-10"/>
        </w:rPr>
        <w:t xml:space="preserve"> </w:t>
      </w:r>
      <w:r>
        <w:t xml:space="preserve">точки</w:t>
      </w:r>
      <w:r>
        <w:t xml:space="preserve"> 7 на северо-запад, от точки 7 до точки 1 на северо-восток где замыкаются.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rPr>
          <w:highlight w:val="none"/>
        </w:rPr>
      </w:pPr>
      <w:r>
        <w:rPr>
          <w:b/>
          <w:bCs/>
          <w:sz w:val="27"/>
          <w:szCs w:val="27"/>
        </w:rPr>
        <w:t xml:space="preserve">2. </w:t>
      </w:r>
      <w:r>
        <w:rPr>
          <w:b/>
          <w:spacing w:val="-2"/>
          <w:sz w:val="27"/>
        </w:rPr>
        <w:t xml:space="preserve">Карта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(схема)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территории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объекта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культурного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highlight w:val="none"/>
        </w:rPr>
      </w:pPr>
      <w:r>
        <w:rPr>
          <w:b/>
          <w:sz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1820" cy="439169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12766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91819" cy="4391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2.43pt;height:345.8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1700" cy="10572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696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81699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1.00pt;height:83.2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sz w:val="27"/>
          <w:highlight w:val="none"/>
        </w:rPr>
      </w:r>
      <w:r/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</w:rPr>
        <w:t xml:space="preserve">План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поворотных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(характерных)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точек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границ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территории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объекта</w:t>
      </w:r>
      <w:r>
        <w:rPr>
          <w:b/>
          <w:sz w:val="27"/>
        </w:rPr>
        <w:t xml:space="preserve"> культурного наследия:</w: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r>
        <w:rPr>
          <w:b/>
          <w:sz w:val="1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681024" behindDoc="1" locked="0" layoutInCell="1" allowOverlap="1">
                <wp:simplePos x="0" y="0"/>
                <wp:positionH relativeFrom="page">
                  <wp:posOffset>2109103</wp:posOffset>
                </wp:positionH>
                <wp:positionV relativeFrom="paragraph">
                  <wp:posOffset>98311</wp:posOffset>
                </wp:positionV>
                <wp:extent cx="3597347" cy="4336022"/>
                <wp:effectExtent l="0" t="0" r="0" b="0"/>
                <wp:wrapTopAndBottom/>
                <wp:docPr id="4" name="Image 9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0444" name="Image 999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3597346" cy="4336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681024;o:allowoverlap:true;o:allowincell:true;mso-position-horizontal-relative:page;margin-left:166.07pt;mso-position-horizontal:absolute;mso-position-vertical-relative:text;margin-top:7.74pt;mso-position-vertical:absolute;width:283.26pt;height:341.42pt;mso-wrap-distance-left:0.00pt;mso-wrap-distance-top:0.00pt;mso-wrap-distance-right:0.00pt;mso-wrap-distance-bottom:0.00pt;rotation:0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  <w:t xml:space="preserve">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77034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9308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0299" cy="7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0pt;height:60.6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3. Перечень координат поворотных точек границ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территории объекта культурного наследия в системе координат,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установленной для ведения государственного кадастра недвижимости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tbl>
      <w:tblPr>
        <w:tblW w:w="0" w:type="auto"/>
        <w:tblInd w:w="5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858"/>
        <w:gridCol w:w="3888"/>
        <w:gridCol w:w="3490"/>
      </w:tblGrid>
      <w:tr>
        <w:tblPrEx/>
        <w:trPr>
          <w:trHeight w:val="825"/>
        </w:trPr>
        <w:tc>
          <w:tcPr>
            <w:tcW w:w="1858" w:type="dxa"/>
            <w:vMerge w:val="restart"/>
            <w:textDirection w:val="lrTb"/>
            <w:noWrap w:val="false"/>
          </w:tcPr>
          <w:p>
            <w:pPr>
              <w:pStyle w:val="971"/>
              <w:ind w:right="113"/>
              <w:jc w:val="center"/>
              <w:spacing w:before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характерной</w:t>
            </w:r>
            <w:r>
              <w:rPr>
                <w:spacing w:val="-2"/>
                <w:sz w:val="24"/>
              </w:rPr>
              <w:t xml:space="preserve"> точки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7378" w:type="dxa"/>
            <w:textDirection w:val="lrTb"/>
            <w:noWrap w:val="false"/>
          </w:tcPr>
          <w:p>
            <w:pPr>
              <w:pStyle w:val="971"/>
              <w:ind w:left="16"/>
              <w:jc w:val="center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установленной</w:t>
            </w:r>
            <w:r>
              <w:rPr>
                <w:sz w:val="24"/>
              </w:rPr>
              <w:t xml:space="preserve"> для ведения государственного кадастра объектов недвижимости (м)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71"/>
              <w:ind w:left="16" w:right="3"/>
              <w:jc w:val="center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 xml:space="preserve">(МСК-47 зона </w:t>
            </w:r>
            <w:r>
              <w:rPr>
                <w:spacing w:val="-5"/>
                <w:sz w:val="24"/>
              </w:rPr>
              <w:t xml:space="preserve">2)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Borders>
              <w:top w:val="none" w:color="000000" w:sz="4" w:space="0"/>
            </w:tcBorders>
            <w:tcW w:w="185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Y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1.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395171,00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2203613,78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2.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395163,31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2203640,37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3.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395157,69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2203657,62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4.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395136,21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2203649,87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8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before="1" w:line="257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5.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5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395093,40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5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2203635,37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6.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395088,79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2203633,82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7.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395102,99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2203586,52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3"/>
        </w:trPr>
        <w:tc>
          <w:tcPr>
            <w:tcW w:w="1858" w:type="dxa"/>
            <w:textDirection w:val="lrTb"/>
            <w:noWrap w:val="false"/>
          </w:tcPr>
          <w:p>
            <w:pPr>
              <w:pStyle w:val="971"/>
              <w:ind w:left="701"/>
              <w:jc w:val="center"/>
              <w:spacing w:line="253" w:lineRule="exact"/>
              <w:rPr>
                <w:sz w:val="20"/>
                <w:szCs w:val="18"/>
              </w:rPr>
            </w:pPr>
            <w:r>
              <w:rPr>
                <w:spacing w:val="-5"/>
                <w:sz w:val="22"/>
                <w:szCs w:val="20"/>
              </w:rPr>
              <w:t xml:space="preserve">1.</w:t>
            </w:r>
            <w:r>
              <w:rPr>
                <w:sz w:val="20"/>
                <w:szCs w:val="18"/>
              </w:rPr>
            </w:r>
            <w:r>
              <w:rPr>
                <w:sz w:val="20"/>
                <w:szCs w:val="18"/>
              </w:rPr>
            </w:r>
          </w:p>
        </w:tc>
        <w:tc>
          <w:tcPr>
            <w:tcW w:w="3888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395171,00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90" w:type="dxa"/>
            <w:textDirection w:val="lrTb"/>
            <w:noWrap w:val="false"/>
          </w:tcPr>
          <w:p>
            <w:pPr>
              <w:pStyle w:val="971"/>
              <w:ind w:left="13"/>
              <w:jc w:val="center"/>
              <w:spacing w:before="1"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2203613,78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ind w:left="142" w:right="343" w:firstLine="0"/>
        <w:jc w:val="center"/>
        <w:spacing w:before="93" w:after="0" w:line="278" w:lineRule="auto"/>
        <w:tabs>
          <w:tab w:val="left" w:pos="1417" w:leader="none"/>
        </w:tabs>
        <w:rPr>
          <w:b/>
          <w:bCs/>
          <w:sz w:val="27"/>
          <w:szCs w:val="27"/>
        </w:rPr>
      </w:pPr>
      <w:r>
        <w:rPr>
          <w:b/>
          <w:sz w:val="27"/>
        </w:rPr>
        <w:t xml:space="preserve">     4. </w:t>
      </w:r>
      <w:r>
        <w:rPr>
          <w:b/>
          <w:sz w:val="27"/>
        </w:rPr>
        <w:t xml:space="preserve">Режим использования территории объекта культурного наследия регионального значения «Богадельня военного и морского духовенства </w:t>
        <w:br/>
        <w:t xml:space="preserve">им. </w:t>
      </w:r>
      <w:r>
        <w:rPr>
          <w:b/>
          <w:sz w:val="27"/>
        </w:rPr>
        <w:t xml:space="preserve">Протопресвитера Желобовского», расположенного по адресу: </w:t>
      </w:r>
      <w:r>
        <w:rPr>
          <w:b/>
          <w:bCs/>
          <w:sz w:val="27"/>
          <w:szCs w:val="27"/>
        </w:rPr>
        <w:t xml:space="preserve">Ленинградская </w:t>
      </w:r>
      <w:r>
        <w:rPr>
          <w:b/>
          <w:bCs/>
          <w:sz w:val="27"/>
          <w:szCs w:val="27"/>
        </w:rPr>
        <w:t xml:space="preserve">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улица Карла Маркса, </w:t>
      </w:r>
      <w:r>
        <w:rPr>
          <w:b/>
          <w:bCs/>
          <w:sz w:val="27"/>
          <w:szCs w:val="27"/>
        </w:rPr>
        <w:t xml:space="preserve">здание 44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pStyle w:val="984"/>
        <w:spacing w:before="43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31"/>
        <w:numPr>
          <w:ilvl w:val="0"/>
          <w:numId w:val="36"/>
        </w:numPr>
        <w:ind w:left="1686" w:right="0" w:hanging="269"/>
        <w:jc w:val="both"/>
        <w:spacing w:before="0" w:after="0" w:line="240" w:lineRule="auto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разрешается: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0" w:firstLine="851"/>
        <w:jc w:val="both"/>
        <w:spacing w:before="45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ведение хозяйственной деятельности, не противоречащей </w:t>
      </w:r>
      <w:r>
        <w:rPr>
          <w:sz w:val="27"/>
        </w:rPr>
        <w:t xml:space="preserve">требованиям</w:t>
      </w:r>
      <w:r>
        <w:rPr>
          <w:sz w:val="27"/>
        </w:rPr>
        <w:t xml:space="preserve"> обеспечения сохранности объекта культурного наследия и </w:t>
      </w:r>
      <w:r>
        <w:rPr>
          <w:sz w:val="27"/>
        </w:rPr>
        <w:t xml:space="preserve">позволяющей</w:t>
      </w:r>
      <w:r>
        <w:rPr>
          <w:sz w:val="27"/>
        </w:rPr>
        <w:t xml:space="preserve"> обеспечить функционирование объекта культурного наследия в </w:t>
      </w:r>
      <w:r>
        <w:rPr>
          <w:sz w:val="27"/>
        </w:rPr>
        <w:t xml:space="preserve">современных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условиях;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3" w:firstLine="850"/>
        <w:jc w:val="both"/>
        <w:spacing w:before="0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сохранение и восстановление (регенерация) историко</w:t>
      </w:r>
      <w:r>
        <w:rPr>
          <w:sz w:val="27"/>
        </w:rPr>
        <w:t xml:space="preserve">-</w:t>
      </w:r>
      <w:r>
        <w:rPr>
          <w:sz w:val="27"/>
        </w:rPr>
        <w:t xml:space="preserve">градостроительной и природной среды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(восстановление,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воссоздание,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восполнение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частично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или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полностью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утраченных</w:t>
      </w:r>
      <w:r>
        <w:rPr>
          <w:sz w:val="27"/>
        </w:rPr>
        <w:t xml:space="preserve"> элементов и характеристик историко-градостроительной и природной </w:t>
      </w:r>
      <w:r>
        <w:rPr>
          <w:sz w:val="27"/>
        </w:rPr>
        <w:t xml:space="preserve">среды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территории);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7" w:firstLine="851"/>
        <w:jc w:val="both"/>
        <w:spacing w:before="0" w:after="0" w:line="278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 исторических элементов планировочной </w:t>
      </w:r>
      <w:r>
        <w:rPr>
          <w:sz w:val="27"/>
        </w:rPr>
        <w:t xml:space="preserve">структуры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1574" w:right="0" w:hanging="157"/>
        <w:jc w:val="both"/>
        <w:spacing w:before="0" w:after="0" w:line="305" w:lineRule="exact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исторических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элементов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 xml:space="preserve">ландшафта;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0" w:firstLine="851"/>
        <w:jc w:val="both"/>
        <w:spacing w:before="46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реконструкция, ремонт инженерных коммуникаций, </w:t>
      </w:r>
      <w:r>
        <w:rPr>
          <w:sz w:val="27"/>
        </w:rPr>
        <w:t xml:space="preserve">благоустройство,</w:t>
      </w:r>
      <w:r>
        <w:rPr>
          <w:sz w:val="27"/>
        </w:rPr>
        <w:t xml:space="preserve"> озеленение, установка малых архитектурных форм, иная </w:t>
      </w:r>
      <w:r>
        <w:rPr>
          <w:sz w:val="27"/>
        </w:rPr>
        <w:t xml:space="preserve">хозяйственная</w:t>
      </w:r>
      <w:r>
        <w:rPr>
          <w:sz w:val="27"/>
        </w:rPr>
        <w:t xml:space="preserve"> деятельность (по согласованию с региональным органом охраны </w:t>
      </w:r>
      <w:r>
        <w:rPr>
          <w:sz w:val="27"/>
        </w:rPr>
        <w:t xml:space="preserve">объектов</w:t>
      </w:r>
      <w:r>
        <w:rPr>
          <w:sz w:val="27"/>
        </w:rPr>
        <w:t xml:space="preserve"> культурного наследия), не противоречащая требованиям о</w:t>
      </w:r>
      <w:r>
        <w:rPr>
          <w:sz w:val="27"/>
        </w:rPr>
        <w:t xml:space="preserve">беспечения</w:t>
      </w:r>
      <w:r>
        <w:rPr>
          <w:sz w:val="27"/>
        </w:rPr>
        <w:t xml:space="preserve"> сохранности объекта культурного наследия и позволяющая </w:t>
      </w:r>
      <w:r>
        <w:rPr>
          <w:sz w:val="27"/>
        </w:rPr>
        <w:t xml:space="preserve">обеспечить</w:t>
      </w:r>
      <w:r>
        <w:rPr>
          <w:sz w:val="27"/>
        </w:rPr>
        <w:t xml:space="preserve"> функционирование объекта культурного наследия в современных </w:t>
      </w:r>
      <w:r>
        <w:rPr>
          <w:sz w:val="27"/>
        </w:rPr>
        <w:t xml:space="preserve">условиях,</w:t>
      </w:r>
      <w:r>
        <w:rPr>
          <w:sz w:val="27"/>
        </w:rPr>
        <w:t xml:space="preserve"> обеспечивающая недопущение ухудшения состояния территории </w:t>
      </w:r>
      <w:r>
        <w:rPr>
          <w:sz w:val="27"/>
        </w:rPr>
        <w:t xml:space="preserve">объекта</w:t>
      </w:r>
      <w:r>
        <w:rPr>
          <w:sz w:val="27"/>
        </w:rPr>
        <w:t xml:space="preserve"> культурного наследия. Применение при благоустройстве и </w:t>
      </w:r>
      <w:r>
        <w:rPr>
          <w:sz w:val="27"/>
        </w:rPr>
        <w:t xml:space="preserve">оборудовании</w:t>
      </w:r>
      <w:r>
        <w:rPr>
          <w:sz w:val="27"/>
        </w:rPr>
        <w:t xml:space="preserve"> территории традиционных материалов: в покрытиях (дерево, камень), </w:t>
      </w:r>
      <w:r>
        <w:rPr>
          <w:sz w:val="27"/>
        </w:rPr>
        <w:t xml:space="preserve">малых</w:t>
      </w:r>
      <w:r>
        <w:rPr>
          <w:sz w:val="27"/>
        </w:rPr>
        <w:t xml:space="preserve"> архитектурных формах, исключая контрастные сочетания и яркую </w:t>
      </w:r>
      <w:r>
        <w:rPr>
          <w:sz w:val="27"/>
        </w:rPr>
        <w:t xml:space="preserve">цветовую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гамму.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0"/>
          <w:numId w:val="36"/>
        </w:numPr>
        <w:ind w:left="1686" w:right="0" w:hanging="269"/>
        <w:jc w:val="both"/>
        <w:spacing w:before="0" w:after="0" w:line="309" w:lineRule="exact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запрещается: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5" w:firstLine="851"/>
        <w:jc w:val="both"/>
        <w:spacing w:before="44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строительство объектов капитального строительства и </w:t>
      </w:r>
      <w:r>
        <w:rPr>
          <w:sz w:val="27"/>
        </w:rPr>
        <w:t xml:space="preserve">увеличение</w:t>
      </w:r>
      <w:r>
        <w:rPr>
          <w:sz w:val="27"/>
        </w:rPr>
        <w:t xml:space="preserve"> объемно-пространственных характеристик, существующих на </w:t>
      </w:r>
      <w:r>
        <w:rPr>
          <w:sz w:val="27"/>
        </w:rPr>
        <w:t xml:space="preserve">территории</w:t>
      </w:r>
      <w:r>
        <w:rPr>
          <w:sz w:val="27"/>
        </w:rPr>
        <w:t xml:space="preserve"> объекта культурного значения объектов капитального строительства;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6" w:right="282" w:firstLine="851"/>
        <w:jc w:val="both"/>
        <w:spacing w:before="0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проведение земляных, строительных, мелиоративных и иных работ, </w:t>
      </w:r>
      <w:r>
        <w:rPr>
          <w:sz w:val="27"/>
        </w:rPr>
        <w:t xml:space="preserve">за</w:t>
      </w:r>
      <w:r>
        <w:rPr>
          <w:sz w:val="27"/>
        </w:rPr>
        <w:t xml:space="preserve"> исключением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работ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по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сохранению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(воссозданию)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z w:val="27"/>
        </w:rPr>
        <w:t xml:space="preserve"> или его отдельных элементов, сохранению историко-градостроительной </w:t>
      </w:r>
      <w:r>
        <w:rPr>
          <w:sz w:val="27"/>
        </w:rPr>
        <w:t xml:space="preserve">или</w:t>
      </w:r>
      <w:r>
        <w:rPr>
          <w:sz w:val="27"/>
        </w:rPr>
        <w:t xml:space="preserve"> природной среды объекта культурного наследия;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1574" w:right="0" w:hanging="157"/>
        <w:jc w:val="both"/>
        <w:spacing w:before="1" w:after="0" w:line="240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размещение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наружной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рекламы;</w:t>
      </w:r>
      <w:r>
        <w:rPr>
          <w:sz w:val="27"/>
        </w:rPr>
      </w:r>
      <w:r>
        <w:rPr>
          <w:sz w:val="27"/>
        </w:rPr>
      </w:r>
    </w:p>
    <w:p>
      <w:pPr>
        <w:pStyle w:val="931"/>
        <w:jc w:val="both"/>
        <w:spacing w:after="0" w:line="240" w:lineRule="auto"/>
        <w:rPr>
          <w:sz w:val="27"/>
        </w:rPr>
        <w:sectPr>
          <w:footnotePr/>
          <w:endnotePr/>
          <w:type w:val="nextPage"/>
          <w:pgSz w:w="11910" w:h="16840" w:orient="portrait"/>
          <w:pgMar w:top="1040" w:right="563" w:bottom="280" w:left="1133" w:header="709" w:footer="709" w:gutter="0"/>
          <w:cols w:num="1" w:sep="0" w:space="1701" w:equalWidth="1"/>
          <w:docGrid w:linePitch="360"/>
        </w:sect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5" w:right="282" w:firstLine="851"/>
        <w:jc w:val="both"/>
        <w:spacing w:before="93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установка на фасадах, крыше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кондиционеров, телеантенн, тарелок спутниковой связи, а также </w:t>
      </w:r>
      <w:r>
        <w:rPr>
          <w:sz w:val="27"/>
        </w:rPr>
        <w:t xml:space="preserve">других</w:t>
      </w:r>
      <w:r>
        <w:rPr>
          <w:sz w:val="27"/>
        </w:rPr>
        <w:t xml:space="preserve"> инженерно-технических средств;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5" w:right="284" w:firstLine="851"/>
        <w:jc w:val="both"/>
        <w:spacing w:before="0" w:after="0" w:line="278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прокладка наземных и воздушных инженерных коммуникаций, </w:t>
      </w:r>
      <w:r>
        <w:rPr>
          <w:sz w:val="27"/>
        </w:rPr>
        <w:t xml:space="preserve">кроме</w:t>
      </w:r>
      <w:r>
        <w:rPr>
          <w:sz w:val="27"/>
        </w:rPr>
        <w:t xml:space="preserve"> временных, необходимых для проведения работ по сохранению;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1573" w:right="0" w:hanging="157"/>
        <w:jc w:val="both"/>
        <w:spacing w:before="0" w:after="0" w:line="305" w:lineRule="exact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устройство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автостоянок;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1573" w:right="0" w:hanging="157"/>
        <w:jc w:val="both"/>
        <w:spacing w:before="49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складирование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мусора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(устройства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свалок);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1573" w:right="0" w:hanging="157"/>
        <w:jc w:val="both"/>
        <w:spacing w:before="44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использование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пиротехнических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средств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 xml:space="preserve">фейерверков;</w:t>
      </w:r>
      <w:r>
        <w:rPr>
          <w:sz w:val="27"/>
        </w:rPr>
      </w:r>
      <w:r>
        <w:rPr>
          <w:sz w:val="27"/>
        </w:rPr>
      </w:r>
    </w:p>
    <w:p>
      <w:pPr>
        <w:pStyle w:val="931"/>
        <w:numPr>
          <w:ilvl w:val="1"/>
          <w:numId w:val="36"/>
        </w:numPr>
        <w:ind w:left="565" w:right="284" w:firstLine="851"/>
        <w:jc w:val="both"/>
        <w:spacing w:before="45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осуществление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любых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видов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деятельности,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ухудшающих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экологические</w:t>
      </w:r>
      <w:r>
        <w:rPr>
          <w:sz w:val="27"/>
        </w:rPr>
        <w:t xml:space="preserve"> условия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гидрологический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режим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наследия,</w:t>
      </w:r>
      <w:r>
        <w:rPr>
          <w:sz w:val="27"/>
        </w:rPr>
        <w:t xml:space="preserve"> создающих вибрационные нагрузки динамическим воздействием на грунты </w:t>
      </w:r>
      <w:r>
        <w:rPr>
          <w:sz w:val="27"/>
        </w:rPr>
        <w:t xml:space="preserve">в</w:t>
      </w:r>
      <w:r>
        <w:rPr>
          <w:sz w:val="27"/>
        </w:rPr>
        <w:t xml:space="preserve"> зоне их взаимодействия с объектом культурного наследия.</w:t>
      </w:r>
      <w:r>
        <w:rPr>
          <w:sz w:val="27"/>
        </w:rPr>
      </w:r>
      <w:r>
        <w:rPr>
          <w:sz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916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</w: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2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6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highlight w:val="none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  <w:t xml:space="preserve">Предмет охраны о</w:t>
      </w:r>
      <w:r>
        <w:rPr>
          <w:rFonts w:ascii="Times New Roman" w:hAnsi="Times New Roman"/>
          <w:b/>
          <w:bCs/>
          <w:sz w:val="27"/>
          <w:szCs w:val="27"/>
        </w:rPr>
        <w:t xml:space="preserve">бъекта культурного наследия регионального значения «Богадельня военного и морского духовенства им. Протопресвитера Желобовского», расположенного по адресу: </w:t>
      </w:r>
      <w:r>
        <w:rPr>
          <w:b/>
          <w:bCs/>
          <w:sz w:val="27"/>
          <w:szCs w:val="27"/>
        </w:rPr>
        <w:t xml:space="preserve">Ленинградская </w:t>
      </w:r>
      <w:r>
        <w:rPr>
          <w:b/>
          <w:bCs/>
          <w:sz w:val="27"/>
          <w:szCs w:val="27"/>
        </w:rPr>
        <w:t xml:space="preserve">область, </w:t>
      </w:r>
      <w:r>
        <w:rPr>
          <w:b/>
          <w:bCs/>
          <w:sz w:val="27"/>
          <w:szCs w:val="27"/>
        </w:rPr>
        <w:t xml:space="preserve">Гатчинский </w:t>
      </w:r>
      <w:r>
        <w:rPr>
          <w:b/>
          <w:bCs/>
          <w:sz w:val="27"/>
          <w:szCs w:val="27"/>
        </w:rPr>
        <w:t xml:space="preserve">муниципальный округ, город Гатчина, улица Карла Маркса, </w:t>
      </w:r>
      <w:r>
        <w:rPr>
          <w:b/>
          <w:bCs/>
          <w:sz w:val="27"/>
          <w:szCs w:val="27"/>
        </w:rPr>
        <w:t xml:space="preserve">здание 44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59055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13233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48374" cy="5905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6.25pt;height:465.0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919162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1585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48374" cy="9191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6.25pt;height:723.7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89154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65618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38849" cy="891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5.50pt;height:702.0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888682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8637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57900" cy="888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7.00pt;height:699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67425" cy="77343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8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67424" cy="7734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7.75pt;height:609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pStyle w:val="916"/>
        <w:ind w:left="142" w:right="292" w:firstLine="567"/>
        <w:jc w:val="both"/>
        <w:rPr>
          <w:i/>
          <w:iCs/>
          <w:sz w:val="26"/>
          <w:szCs w:val="26"/>
          <w:highlight w:val="none"/>
        </w:rPr>
      </w:pPr>
      <w:r>
        <w:rPr>
          <w:i/>
          <w:iCs/>
          <w:sz w:val="26"/>
          <w:szCs w:val="26"/>
        </w:rPr>
        <w:t xml:space="preserve">Предмет охраны может быть уточнен в процессе историко-культурных </w:t>
        <w:br/>
      </w:r>
      <w:r>
        <w:rPr>
          <w:i/>
          <w:iCs/>
          <w:sz w:val="26"/>
          <w:szCs w:val="26"/>
        </w:rPr>
        <w:t xml:space="preserve">и реставрационных исследований, реставрационных работ.</w:t>
      </w:r>
      <w:r>
        <w:rPr>
          <w:i/>
          <w:iCs/>
          <w:sz w:val="26"/>
          <w:szCs w:val="26"/>
          <w:highlight w:val="none"/>
        </w:rPr>
      </w:r>
      <w:r>
        <w:rPr>
          <w:i/>
          <w:iCs/>
          <w:sz w:val="26"/>
          <w:szCs w:val="26"/>
          <w:highlight w:val="none"/>
        </w:rPr>
      </w:r>
    </w:p>
    <w:p>
      <w:pPr>
        <w:contextualSpacing/>
        <w:spacing w:after="0"/>
        <w:widowControl w:val="off"/>
        <w:rPr>
          <w:rFonts w:ascii="Times New Roman" w:hAnsi="Times New Roman" w:eastAsia="Times New Roman"/>
          <w:b/>
          <w:bCs/>
          <w:spacing w:val="-1"/>
          <w:sz w:val="27"/>
          <w:szCs w:val="27"/>
        </w:rPr>
      </w:pPr>
      <w:r>
        <w:rPr>
          <w:rFonts w:ascii="Times New Roman" w:hAnsi="Times New Roman" w:eastAsia="Times New Roman"/>
          <w:b/>
          <w:spacing w:val="-1"/>
          <w:sz w:val="27"/>
          <w:szCs w:val="27"/>
        </w:rPr>
      </w:r>
      <w:r>
        <w:rPr>
          <w:rFonts w:ascii="Times New Roman" w:hAnsi="Times New Roman" w:eastAsia="Times New Roman"/>
          <w:b/>
          <w:bCs/>
          <w:spacing w:val="-1"/>
          <w:sz w:val="27"/>
          <w:szCs w:val="27"/>
        </w:rPr>
      </w:r>
      <w:r>
        <w:rPr>
          <w:rFonts w:ascii="Times New Roman" w:hAnsi="Times New Roman" w:eastAsia="Times New Roman"/>
          <w:b/>
          <w:bCs/>
          <w:spacing w:val="-1"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708" w:bottom="964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706090202050904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87" w:hanging="2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566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27" w:hanging="15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5"/>
  </w:num>
  <w:num w:numId="5">
    <w:abstractNumId w:val="0"/>
  </w:num>
  <w:num w:numId="6">
    <w:abstractNumId w:val="4"/>
  </w:num>
  <w:num w:numId="7">
    <w:abstractNumId w:val="2"/>
  </w:num>
  <w:num w:numId="8">
    <w:abstractNumId w:val="17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12"/>
  </w:num>
  <w:num w:numId="14">
    <w:abstractNumId w:val="13"/>
  </w:num>
  <w:num w:numId="15">
    <w:abstractNumId w:val="16"/>
  </w:num>
  <w:num w:numId="16">
    <w:abstractNumId w:val="9"/>
  </w:num>
  <w:num w:numId="17">
    <w:abstractNumId w:val="8"/>
  </w:num>
  <w:num w:numId="18">
    <w:abstractNumId w:val="14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9">
    <w:name w:val="Heading 1"/>
    <w:basedOn w:val="916"/>
    <w:next w:val="916"/>
    <w:link w:val="74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0">
    <w:name w:val="Heading 1 Char"/>
    <w:link w:val="739"/>
    <w:uiPriority w:val="9"/>
    <w:rPr>
      <w:rFonts w:ascii="Arial" w:hAnsi="Arial" w:eastAsia="Arial" w:cs="Arial"/>
      <w:sz w:val="40"/>
      <w:szCs w:val="40"/>
    </w:rPr>
  </w:style>
  <w:style w:type="paragraph" w:styleId="741">
    <w:name w:val="Heading 2"/>
    <w:basedOn w:val="916"/>
    <w:next w:val="916"/>
    <w:link w:val="74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2">
    <w:name w:val="Heading 2 Char"/>
    <w:link w:val="741"/>
    <w:uiPriority w:val="9"/>
    <w:rPr>
      <w:rFonts w:ascii="Arial" w:hAnsi="Arial" w:eastAsia="Arial" w:cs="Arial"/>
      <w:sz w:val="34"/>
    </w:rPr>
  </w:style>
  <w:style w:type="paragraph" w:styleId="743">
    <w:name w:val="Heading 3"/>
    <w:basedOn w:val="916"/>
    <w:next w:val="916"/>
    <w:link w:val="74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44">
    <w:name w:val="Heading 3 Char"/>
    <w:link w:val="743"/>
    <w:uiPriority w:val="9"/>
    <w:rPr>
      <w:rFonts w:ascii="Arial" w:hAnsi="Arial" w:eastAsia="Arial" w:cs="Arial"/>
      <w:sz w:val="30"/>
      <w:szCs w:val="30"/>
    </w:rPr>
  </w:style>
  <w:style w:type="paragraph" w:styleId="745">
    <w:name w:val="Heading 4"/>
    <w:basedOn w:val="916"/>
    <w:next w:val="916"/>
    <w:link w:val="74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6">
    <w:name w:val="Heading 4 Char"/>
    <w:link w:val="745"/>
    <w:uiPriority w:val="9"/>
    <w:rPr>
      <w:rFonts w:ascii="Arial" w:hAnsi="Arial" w:eastAsia="Arial" w:cs="Arial"/>
      <w:b/>
      <w:bCs/>
      <w:sz w:val="26"/>
      <w:szCs w:val="26"/>
    </w:rPr>
  </w:style>
  <w:style w:type="paragraph" w:styleId="747">
    <w:name w:val="Heading 5"/>
    <w:basedOn w:val="916"/>
    <w:next w:val="916"/>
    <w:link w:val="74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8">
    <w:name w:val="Heading 5 Char"/>
    <w:link w:val="747"/>
    <w:uiPriority w:val="9"/>
    <w:rPr>
      <w:rFonts w:ascii="Arial" w:hAnsi="Arial" w:eastAsia="Arial" w:cs="Arial"/>
      <w:b/>
      <w:bCs/>
      <w:sz w:val="24"/>
      <w:szCs w:val="24"/>
    </w:rPr>
  </w:style>
  <w:style w:type="paragraph" w:styleId="749">
    <w:name w:val="Heading 6"/>
    <w:basedOn w:val="916"/>
    <w:next w:val="916"/>
    <w:link w:val="75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0">
    <w:name w:val="Heading 6 Char"/>
    <w:link w:val="749"/>
    <w:uiPriority w:val="9"/>
    <w:rPr>
      <w:rFonts w:ascii="Arial" w:hAnsi="Arial" w:eastAsia="Arial" w:cs="Arial"/>
      <w:b/>
      <w:bCs/>
      <w:sz w:val="22"/>
      <w:szCs w:val="22"/>
    </w:rPr>
  </w:style>
  <w:style w:type="paragraph" w:styleId="751">
    <w:name w:val="Heading 7"/>
    <w:basedOn w:val="916"/>
    <w:next w:val="916"/>
    <w:link w:val="75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2">
    <w:name w:val="Heading 7 Char"/>
    <w:link w:val="75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3">
    <w:name w:val="Heading 8"/>
    <w:basedOn w:val="916"/>
    <w:next w:val="916"/>
    <w:link w:val="75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4">
    <w:name w:val="Heading 8 Char"/>
    <w:link w:val="753"/>
    <w:uiPriority w:val="9"/>
    <w:rPr>
      <w:rFonts w:ascii="Arial" w:hAnsi="Arial" w:eastAsia="Arial" w:cs="Arial"/>
      <w:i/>
      <w:iCs/>
      <w:sz w:val="22"/>
      <w:szCs w:val="22"/>
    </w:rPr>
  </w:style>
  <w:style w:type="paragraph" w:styleId="755">
    <w:name w:val="Heading 9"/>
    <w:basedOn w:val="916"/>
    <w:next w:val="916"/>
    <w:link w:val="75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6">
    <w:name w:val="Heading 9 Char"/>
    <w:link w:val="755"/>
    <w:uiPriority w:val="9"/>
    <w:rPr>
      <w:rFonts w:ascii="Arial" w:hAnsi="Arial" w:eastAsia="Arial" w:cs="Arial"/>
      <w:i/>
      <w:iCs/>
      <w:sz w:val="21"/>
      <w:szCs w:val="21"/>
    </w:rPr>
  </w:style>
  <w:style w:type="paragraph" w:styleId="757">
    <w:name w:val="No Spacing"/>
    <w:uiPriority w:val="1"/>
    <w:qFormat/>
    <w:pPr>
      <w:spacing w:before="0" w:after="0" w:line="240" w:lineRule="auto"/>
    </w:pPr>
  </w:style>
  <w:style w:type="paragraph" w:styleId="758">
    <w:name w:val="Title"/>
    <w:basedOn w:val="916"/>
    <w:next w:val="916"/>
    <w:link w:val="75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9">
    <w:name w:val="Title Char"/>
    <w:link w:val="758"/>
    <w:uiPriority w:val="10"/>
    <w:rPr>
      <w:sz w:val="48"/>
      <w:szCs w:val="48"/>
    </w:rPr>
  </w:style>
  <w:style w:type="paragraph" w:styleId="760">
    <w:name w:val="Subtitle"/>
    <w:basedOn w:val="916"/>
    <w:next w:val="916"/>
    <w:link w:val="761"/>
    <w:uiPriority w:val="11"/>
    <w:qFormat/>
    <w:pPr>
      <w:spacing w:before="200" w:after="200"/>
    </w:pPr>
    <w:rPr>
      <w:sz w:val="24"/>
      <w:szCs w:val="24"/>
    </w:rPr>
  </w:style>
  <w:style w:type="character" w:styleId="761">
    <w:name w:val="Subtitle Char"/>
    <w:link w:val="760"/>
    <w:uiPriority w:val="11"/>
    <w:rPr>
      <w:sz w:val="24"/>
      <w:szCs w:val="24"/>
    </w:rPr>
  </w:style>
  <w:style w:type="paragraph" w:styleId="762">
    <w:name w:val="Quote"/>
    <w:basedOn w:val="916"/>
    <w:next w:val="916"/>
    <w:link w:val="763"/>
    <w:uiPriority w:val="29"/>
    <w:qFormat/>
    <w:pPr>
      <w:ind w:left="720" w:right="720"/>
    </w:pPr>
    <w:rPr>
      <w:i/>
    </w:rPr>
  </w:style>
  <w:style w:type="character" w:styleId="763">
    <w:name w:val="Quote Char"/>
    <w:link w:val="762"/>
    <w:uiPriority w:val="29"/>
    <w:rPr>
      <w:i/>
    </w:rPr>
  </w:style>
  <w:style w:type="paragraph" w:styleId="764">
    <w:name w:val="Intense Quote"/>
    <w:basedOn w:val="916"/>
    <w:next w:val="916"/>
    <w:link w:val="76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5">
    <w:name w:val="Intense Quote Char"/>
    <w:link w:val="764"/>
    <w:uiPriority w:val="30"/>
    <w:rPr>
      <w:i/>
    </w:rPr>
  </w:style>
  <w:style w:type="paragraph" w:styleId="766">
    <w:name w:val="Header"/>
    <w:basedOn w:val="916"/>
    <w:link w:val="7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7">
    <w:name w:val="Header Char"/>
    <w:link w:val="766"/>
    <w:uiPriority w:val="99"/>
  </w:style>
  <w:style w:type="paragraph" w:styleId="768">
    <w:name w:val="Footer"/>
    <w:basedOn w:val="916"/>
    <w:link w:val="7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9">
    <w:name w:val="Footer Char"/>
    <w:link w:val="768"/>
    <w:uiPriority w:val="99"/>
  </w:style>
  <w:style w:type="paragraph" w:styleId="770">
    <w:name w:val="Caption"/>
    <w:basedOn w:val="916"/>
    <w:next w:val="916"/>
    <w:link w:val="77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1">
    <w:name w:val="Caption Char"/>
    <w:link w:val="770"/>
    <w:uiPriority w:val="35"/>
    <w:rPr>
      <w:b/>
      <w:bCs/>
      <w:color w:val="4f81bd" w:themeColor="accent1"/>
      <w:sz w:val="18"/>
      <w:szCs w:val="18"/>
    </w:rPr>
  </w:style>
  <w:style w:type="table" w:styleId="77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98">
    <w:name w:val="Hyperlink"/>
    <w:uiPriority w:val="99"/>
    <w:unhideWhenUsed/>
    <w:rPr>
      <w:color w:val="0000ff" w:themeColor="hyperlink"/>
      <w:u w:val="single"/>
    </w:rPr>
  </w:style>
  <w:style w:type="paragraph" w:styleId="899">
    <w:name w:val="footnote text"/>
    <w:basedOn w:val="916"/>
    <w:link w:val="900"/>
    <w:uiPriority w:val="99"/>
    <w:semiHidden/>
    <w:unhideWhenUsed/>
    <w:pPr>
      <w:spacing w:after="40" w:line="240" w:lineRule="auto"/>
    </w:pPr>
    <w:rPr>
      <w:sz w:val="18"/>
    </w:rPr>
  </w:style>
  <w:style w:type="character" w:styleId="900">
    <w:name w:val="Footnote Text Char"/>
    <w:link w:val="899"/>
    <w:uiPriority w:val="99"/>
    <w:rPr>
      <w:sz w:val="18"/>
    </w:rPr>
  </w:style>
  <w:style w:type="character" w:styleId="901">
    <w:name w:val="footnote reference"/>
    <w:uiPriority w:val="99"/>
    <w:unhideWhenUsed/>
    <w:rPr>
      <w:vertAlign w:val="superscript"/>
    </w:rPr>
  </w:style>
  <w:style w:type="paragraph" w:styleId="902">
    <w:name w:val="endnote text"/>
    <w:basedOn w:val="916"/>
    <w:link w:val="903"/>
    <w:uiPriority w:val="99"/>
    <w:semiHidden/>
    <w:unhideWhenUsed/>
    <w:pPr>
      <w:spacing w:after="0" w:line="240" w:lineRule="auto"/>
    </w:pPr>
    <w:rPr>
      <w:sz w:val="20"/>
    </w:rPr>
  </w:style>
  <w:style w:type="character" w:styleId="903">
    <w:name w:val="Endnote Text Char"/>
    <w:link w:val="902"/>
    <w:uiPriority w:val="99"/>
    <w:rPr>
      <w:sz w:val="20"/>
    </w:rPr>
  </w:style>
  <w:style w:type="character" w:styleId="904">
    <w:name w:val="endnote reference"/>
    <w:uiPriority w:val="99"/>
    <w:semiHidden/>
    <w:unhideWhenUsed/>
    <w:rPr>
      <w:vertAlign w:val="superscript"/>
    </w:rPr>
  </w:style>
  <w:style w:type="paragraph" w:styleId="905">
    <w:name w:val="toc 1"/>
    <w:basedOn w:val="916"/>
    <w:next w:val="916"/>
    <w:uiPriority w:val="39"/>
    <w:unhideWhenUsed/>
    <w:pPr>
      <w:ind w:left="0" w:right="0" w:firstLine="0"/>
      <w:spacing w:after="57"/>
    </w:pPr>
  </w:style>
  <w:style w:type="paragraph" w:styleId="906">
    <w:name w:val="toc 2"/>
    <w:basedOn w:val="916"/>
    <w:next w:val="916"/>
    <w:uiPriority w:val="39"/>
    <w:unhideWhenUsed/>
    <w:pPr>
      <w:ind w:left="283" w:right="0" w:firstLine="0"/>
      <w:spacing w:after="57"/>
    </w:pPr>
  </w:style>
  <w:style w:type="paragraph" w:styleId="907">
    <w:name w:val="toc 3"/>
    <w:basedOn w:val="916"/>
    <w:next w:val="916"/>
    <w:uiPriority w:val="39"/>
    <w:unhideWhenUsed/>
    <w:pPr>
      <w:ind w:left="567" w:right="0" w:firstLine="0"/>
      <w:spacing w:after="57"/>
    </w:pPr>
  </w:style>
  <w:style w:type="paragraph" w:styleId="908">
    <w:name w:val="toc 4"/>
    <w:basedOn w:val="916"/>
    <w:next w:val="916"/>
    <w:uiPriority w:val="39"/>
    <w:unhideWhenUsed/>
    <w:pPr>
      <w:ind w:left="850" w:right="0" w:firstLine="0"/>
      <w:spacing w:after="57"/>
    </w:pPr>
  </w:style>
  <w:style w:type="paragraph" w:styleId="909">
    <w:name w:val="toc 5"/>
    <w:basedOn w:val="916"/>
    <w:next w:val="916"/>
    <w:uiPriority w:val="39"/>
    <w:unhideWhenUsed/>
    <w:pPr>
      <w:ind w:left="1134" w:right="0" w:firstLine="0"/>
      <w:spacing w:after="57"/>
    </w:pPr>
  </w:style>
  <w:style w:type="paragraph" w:styleId="910">
    <w:name w:val="toc 6"/>
    <w:basedOn w:val="916"/>
    <w:next w:val="916"/>
    <w:uiPriority w:val="39"/>
    <w:unhideWhenUsed/>
    <w:pPr>
      <w:ind w:left="1417" w:right="0" w:firstLine="0"/>
      <w:spacing w:after="57"/>
    </w:pPr>
  </w:style>
  <w:style w:type="paragraph" w:styleId="911">
    <w:name w:val="toc 7"/>
    <w:basedOn w:val="916"/>
    <w:next w:val="916"/>
    <w:uiPriority w:val="39"/>
    <w:unhideWhenUsed/>
    <w:pPr>
      <w:ind w:left="1701" w:right="0" w:firstLine="0"/>
      <w:spacing w:after="57"/>
    </w:pPr>
  </w:style>
  <w:style w:type="paragraph" w:styleId="912">
    <w:name w:val="toc 8"/>
    <w:basedOn w:val="916"/>
    <w:next w:val="916"/>
    <w:uiPriority w:val="39"/>
    <w:unhideWhenUsed/>
    <w:pPr>
      <w:ind w:left="1984" w:right="0" w:firstLine="0"/>
      <w:spacing w:after="57"/>
    </w:pPr>
  </w:style>
  <w:style w:type="paragraph" w:styleId="913">
    <w:name w:val="toc 9"/>
    <w:basedOn w:val="916"/>
    <w:next w:val="916"/>
    <w:uiPriority w:val="39"/>
    <w:unhideWhenUsed/>
    <w:pPr>
      <w:ind w:left="2268" w:right="0" w:firstLine="0"/>
      <w:spacing w:after="57"/>
    </w:pPr>
  </w:style>
  <w:style w:type="paragraph" w:styleId="914">
    <w:name w:val="TOC Heading"/>
    <w:uiPriority w:val="39"/>
    <w:unhideWhenUsed/>
  </w:style>
  <w:style w:type="paragraph" w:styleId="915">
    <w:name w:val="table of figures"/>
    <w:basedOn w:val="916"/>
    <w:next w:val="916"/>
    <w:uiPriority w:val="99"/>
    <w:unhideWhenUsed/>
    <w:pPr>
      <w:spacing w:after="0" w:afterAutospacing="0"/>
    </w:pPr>
  </w:style>
  <w:style w:type="paragraph" w:styleId="916" w:default="1">
    <w:name w:val="Normal"/>
    <w:next w:val="916"/>
    <w:link w:val="916"/>
    <w:qFormat/>
    <w:rPr>
      <w:sz w:val="24"/>
      <w:szCs w:val="24"/>
      <w:lang w:val="ru-RU" w:eastAsia="ru-RU" w:bidi="ar-SA"/>
    </w:rPr>
  </w:style>
  <w:style w:type="paragraph" w:styleId="917">
    <w:name w:val="Заголовок 1"/>
    <w:basedOn w:val="916"/>
    <w:next w:val="916"/>
    <w:link w:val="916"/>
    <w:qFormat/>
    <w:pPr>
      <w:jc w:val="center"/>
      <w:keepNext/>
      <w:outlineLvl w:val="0"/>
    </w:pPr>
    <w:rPr>
      <w:b/>
      <w:sz w:val="22"/>
      <w:szCs w:val="20"/>
    </w:rPr>
  </w:style>
  <w:style w:type="paragraph" w:styleId="918">
    <w:name w:val="Заголовок 2"/>
    <w:basedOn w:val="916"/>
    <w:next w:val="916"/>
    <w:link w:val="941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919">
    <w:name w:val="Заголовок 3"/>
    <w:basedOn w:val="916"/>
    <w:next w:val="916"/>
    <w:link w:val="942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920">
    <w:name w:val="Заголовок 4"/>
    <w:basedOn w:val="916"/>
    <w:next w:val="916"/>
    <w:link w:val="938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921">
    <w:name w:val="Заголовок 5"/>
    <w:basedOn w:val="916"/>
    <w:next w:val="916"/>
    <w:link w:val="943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922">
    <w:name w:val="Заголовок 6"/>
    <w:basedOn w:val="916"/>
    <w:next w:val="916"/>
    <w:link w:val="944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923">
    <w:name w:val="Заголовок 7"/>
    <w:basedOn w:val="916"/>
    <w:next w:val="916"/>
    <w:link w:val="945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924">
    <w:name w:val="Заголовок 8"/>
    <w:basedOn w:val="916"/>
    <w:next w:val="916"/>
    <w:link w:val="946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925">
    <w:name w:val="Заголовок 9"/>
    <w:basedOn w:val="916"/>
    <w:next w:val="916"/>
    <w:link w:val="947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926">
    <w:name w:val="Основной шрифт абзаца"/>
    <w:next w:val="926"/>
    <w:link w:val="916"/>
    <w:semiHidden/>
  </w:style>
  <w:style w:type="table" w:styleId="927">
    <w:name w:val="Обычная таблица"/>
    <w:next w:val="927"/>
    <w:link w:val="916"/>
    <w:semiHidden/>
    <w:tblPr/>
  </w:style>
  <w:style w:type="numbering" w:styleId="928">
    <w:name w:val="Нет списка"/>
    <w:next w:val="928"/>
    <w:link w:val="916"/>
    <w:semiHidden/>
  </w:style>
  <w:style w:type="paragraph" w:styleId="929">
    <w:name w:val=" Знак Знак1 Знак Знак"/>
    <w:basedOn w:val="916"/>
    <w:next w:val="929"/>
    <w:link w:val="91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30">
    <w:name w:val="ConsPlusNonformat"/>
    <w:next w:val="930"/>
    <w:link w:val="91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31">
    <w:name w:val="List Paragraph"/>
    <w:basedOn w:val="916"/>
    <w:next w:val="931"/>
    <w:link w:val="916"/>
    <w:pPr>
      <w:ind w:left="708"/>
    </w:pPr>
  </w:style>
  <w:style w:type="paragraph" w:styleId="932">
    <w:name w:val="Текст выноски"/>
    <w:basedOn w:val="916"/>
    <w:next w:val="932"/>
    <w:link w:val="933"/>
    <w:rPr>
      <w:rFonts w:ascii="Tahoma" w:hAnsi="Tahoma"/>
      <w:sz w:val="16"/>
      <w:szCs w:val="16"/>
      <w:lang w:val="en-US" w:eastAsia="en-US"/>
    </w:rPr>
  </w:style>
  <w:style w:type="character" w:styleId="933">
    <w:name w:val="Текст выноски Знак"/>
    <w:next w:val="933"/>
    <w:link w:val="932"/>
    <w:rPr>
      <w:rFonts w:ascii="Tahoma" w:hAnsi="Tahoma" w:cs="Tahoma"/>
      <w:sz w:val="16"/>
      <w:szCs w:val="16"/>
    </w:rPr>
  </w:style>
  <w:style w:type="paragraph" w:styleId="934">
    <w:name w:val="Основной текст с отступом"/>
    <w:basedOn w:val="916"/>
    <w:next w:val="934"/>
    <w:link w:val="935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35">
    <w:name w:val="Основной текст с отступом Знак"/>
    <w:next w:val="935"/>
    <w:link w:val="934"/>
    <w:rPr>
      <w:b/>
      <w:spacing w:val="30"/>
      <w:sz w:val="24"/>
      <w:lang w:val="en-US" w:eastAsia="en-US"/>
    </w:rPr>
  </w:style>
  <w:style w:type="paragraph" w:styleId="936">
    <w:name w:val="Знак Знак Знак1 Знак Знак Знак Знак Знак Знак1 Знак Знак Знак Знак"/>
    <w:basedOn w:val="916"/>
    <w:next w:val="936"/>
    <w:link w:val="91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table" w:styleId="937">
    <w:name w:val="Сетка таблицы"/>
    <w:basedOn w:val="927"/>
    <w:next w:val="937"/>
    <w:link w:val="916"/>
    <w:uiPriority w:val="39"/>
    <w:tblPr/>
  </w:style>
  <w:style w:type="character" w:styleId="938">
    <w:name w:val="Заголовок 4 Знак"/>
    <w:next w:val="938"/>
    <w:link w:val="92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39">
    <w:name w:val="Основной текст"/>
    <w:basedOn w:val="916"/>
    <w:next w:val="939"/>
    <w:link w:val="940"/>
    <w:pPr>
      <w:spacing w:after="120"/>
    </w:pPr>
    <w:rPr>
      <w:lang w:val="en-US" w:eastAsia="en-US"/>
    </w:rPr>
  </w:style>
  <w:style w:type="character" w:styleId="940">
    <w:name w:val="Основной текст Знак"/>
    <w:next w:val="940"/>
    <w:link w:val="939"/>
    <w:rPr>
      <w:sz w:val="24"/>
      <w:szCs w:val="24"/>
    </w:rPr>
  </w:style>
  <w:style w:type="character" w:styleId="941">
    <w:name w:val="Заголовок 2 Знак"/>
    <w:next w:val="941"/>
    <w:link w:val="918"/>
    <w:rPr>
      <w:sz w:val="28"/>
    </w:rPr>
  </w:style>
  <w:style w:type="character" w:styleId="942">
    <w:name w:val="Заголовок 3 Знак"/>
    <w:next w:val="942"/>
    <w:link w:val="919"/>
    <w:rPr>
      <w:sz w:val="28"/>
    </w:rPr>
  </w:style>
  <w:style w:type="character" w:styleId="943">
    <w:name w:val="Заголовок 5 Знак"/>
    <w:next w:val="943"/>
    <w:link w:val="921"/>
    <w:rPr>
      <w:sz w:val="28"/>
    </w:rPr>
  </w:style>
  <w:style w:type="character" w:styleId="944">
    <w:name w:val="Заголовок 6 Знак"/>
    <w:next w:val="944"/>
    <w:link w:val="922"/>
    <w:rPr>
      <w:color w:val="000000"/>
      <w:sz w:val="24"/>
    </w:rPr>
  </w:style>
  <w:style w:type="character" w:styleId="945">
    <w:name w:val="Заголовок 7 Знак"/>
    <w:next w:val="945"/>
    <w:link w:val="923"/>
    <w:rPr>
      <w:b/>
      <w:color w:val="000000"/>
      <w:sz w:val="24"/>
    </w:rPr>
  </w:style>
  <w:style w:type="character" w:styleId="946">
    <w:name w:val="Заголовок 8 Знак"/>
    <w:next w:val="946"/>
    <w:link w:val="924"/>
    <w:rPr>
      <w:b/>
      <w:sz w:val="28"/>
    </w:rPr>
  </w:style>
  <w:style w:type="character" w:styleId="947">
    <w:name w:val="Заголовок 9 Знак"/>
    <w:next w:val="947"/>
    <w:link w:val="925"/>
    <w:rPr>
      <w:b/>
      <w:sz w:val="28"/>
    </w:rPr>
  </w:style>
  <w:style w:type="paragraph" w:styleId="948">
    <w:name w:val="Основной текст 2"/>
    <w:basedOn w:val="916"/>
    <w:next w:val="948"/>
    <w:link w:val="949"/>
    <w:pPr>
      <w:jc w:val="center"/>
    </w:pPr>
    <w:rPr>
      <w:sz w:val="32"/>
      <w:szCs w:val="20"/>
      <w:lang w:val="en-US" w:eastAsia="en-US"/>
    </w:rPr>
  </w:style>
  <w:style w:type="character" w:styleId="949">
    <w:name w:val="Основной текст 2 Знак"/>
    <w:next w:val="949"/>
    <w:link w:val="948"/>
    <w:rPr>
      <w:sz w:val="32"/>
    </w:rPr>
  </w:style>
  <w:style w:type="paragraph" w:styleId="950">
    <w:name w:val="Цитата"/>
    <w:basedOn w:val="916"/>
    <w:next w:val="950"/>
    <w:link w:val="916"/>
    <w:pPr>
      <w:ind w:left="993" w:right="567" w:hanging="633"/>
    </w:pPr>
    <w:rPr>
      <w:sz w:val="28"/>
      <w:szCs w:val="20"/>
    </w:rPr>
  </w:style>
  <w:style w:type="paragraph" w:styleId="951">
    <w:name w:val="Основной текст с отступом 3"/>
    <w:basedOn w:val="916"/>
    <w:next w:val="951"/>
    <w:link w:val="952"/>
    <w:pPr>
      <w:ind w:left="28" w:hanging="28"/>
    </w:pPr>
    <w:rPr>
      <w:szCs w:val="20"/>
      <w:lang w:val="en-US" w:eastAsia="en-US"/>
    </w:rPr>
  </w:style>
  <w:style w:type="character" w:styleId="952">
    <w:name w:val="Основной текст с отступом 3 Знак"/>
    <w:next w:val="952"/>
    <w:link w:val="951"/>
    <w:rPr>
      <w:sz w:val="24"/>
    </w:rPr>
  </w:style>
  <w:style w:type="paragraph" w:styleId="953">
    <w:name w:val="Верхний колонтитул"/>
    <w:basedOn w:val="916"/>
    <w:next w:val="953"/>
    <w:link w:val="954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54">
    <w:name w:val="Верхний колонтитул Знак"/>
    <w:basedOn w:val="926"/>
    <w:next w:val="954"/>
    <w:link w:val="953"/>
  </w:style>
  <w:style w:type="paragraph" w:styleId="955">
    <w:name w:val="Основной текст с отступом 2"/>
    <w:basedOn w:val="916"/>
    <w:next w:val="955"/>
    <w:link w:val="956"/>
    <w:pPr>
      <w:ind w:firstLine="709"/>
      <w:jc w:val="both"/>
    </w:pPr>
    <w:rPr>
      <w:sz w:val="28"/>
      <w:szCs w:val="20"/>
      <w:lang w:val="en-US" w:eastAsia="en-US"/>
    </w:rPr>
  </w:style>
  <w:style w:type="character" w:styleId="956">
    <w:name w:val="Основной текст с отступом 2 Знак"/>
    <w:next w:val="956"/>
    <w:link w:val="955"/>
    <w:rPr>
      <w:sz w:val="28"/>
    </w:rPr>
  </w:style>
  <w:style w:type="paragraph" w:styleId="957">
    <w:name w:val="Нижний колонтитул"/>
    <w:basedOn w:val="916"/>
    <w:next w:val="957"/>
    <w:link w:val="95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58">
    <w:name w:val="Нижний колонтитул Знак"/>
    <w:basedOn w:val="926"/>
    <w:next w:val="958"/>
    <w:link w:val="957"/>
  </w:style>
  <w:style w:type="paragraph" w:styleId="959">
    <w:name w:val="Основной текст 3"/>
    <w:basedOn w:val="916"/>
    <w:next w:val="959"/>
    <w:link w:val="960"/>
    <w:rPr>
      <w:sz w:val="28"/>
      <w:szCs w:val="20"/>
      <w:lang w:val="en-US" w:eastAsia="en-US"/>
    </w:rPr>
  </w:style>
  <w:style w:type="character" w:styleId="960">
    <w:name w:val="Основной текст 3 Знак"/>
    <w:next w:val="960"/>
    <w:link w:val="959"/>
    <w:rPr>
      <w:sz w:val="28"/>
    </w:rPr>
  </w:style>
  <w:style w:type="paragraph" w:styleId="961">
    <w:name w:val="Схема документа"/>
    <w:basedOn w:val="916"/>
    <w:next w:val="961"/>
    <w:link w:val="962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62">
    <w:name w:val="Схема документа Знак"/>
    <w:next w:val="962"/>
    <w:link w:val="961"/>
    <w:rPr>
      <w:rFonts w:ascii="Tahoma" w:hAnsi="Tahoma" w:cs="Tahoma"/>
      <w:shd w:val="clear" w:color="auto" w:fill="000080"/>
    </w:rPr>
  </w:style>
  <w:style w:type="character" w:styleId="963">
    <w:name w:val="Номер страницы"/>
    <w:next w:val="963"/>
    <w:link w:val="916"/>
  </w:style>
  <w:style w:type="paragraph" w:styleId="964">
    <w:name w:val="Style5"/>
    <w:basedOn w:val="916"/>
    <w:next w:val="964"/>
    <w:link w:val="91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65">
    <w:name w:val="Style6"/>
    <w:basedOn w:val="916"/>
    <w:next w:val="965"/>
    <w:link w:val="91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66">
    <w:name w:val="Style2"/>
    <w:basedOn w:val="916"/>
    <w:next w:val="966"/>
    <w:link w:val="916"/>
    <w:pPr>
      <w:widowControl w:val="off"/>
    </w:pPr>
  </w:style>
  <w:style w:type="paragraph" w:styleId="967">
    <w:name w:val="Style7"/>
    <w:basedOn w:val="916"/>
    <w:next w:val="967"/>
    <w:link w:val="916"/>
    <w:pPr>
      <w:jc w:val="center"/>
      <w:spacing w:line="255" w:lineRule="exact"/>
      <w:widowControl w:val="off"/>
    </w:pPr>
  </w:style>
  <w:style w:type="character" w:styleId="968">
    <w:name w:val="Font Style11"/>
    <w:next w:val="968"/>
    <w:link w:val="916"/>
    <w:rPr>
      <w:rFonts w:ascii="Times New Roman" w:hAnsi="Times New Roman" w:cs="Times New Roman"/>
      <w:sz w:val="22"/>
      <w:szCs w:val="22"/>
    </w:rPr>
  </w:style>
  <w:style w:type="character" w:styleId="969">
    <w:name w:val="Font Style12"/>
    <w:next w:val="969"/>
    <w:link w:val="916"/>
    <w:rPr>
      <w:rFonts w:ascii="Times New Roman" w:hAnsi="Times New Roman" w:cs="Times New Roman"/>
      <w:sz w:val="20"/>
      <w:szCs w:val="20"/>
    </w:rPr>
  </w:style>
  <w:style w:type="paragraph" w:styleId="970">
    <w:name w:val="Абзац списка"/>
    <w:basedOn w:val="916"/>
    <w:next w:val="970"/>
    <w:link w:val="916"/>
    <w:uiPriority w:val="99"/>
    <w:qFormat/>
    <w:pPr>
      <w:contextualSpacing/>
      <w:ind w:left="720"/>
    </w:pPr>
  </w:style>
  <w:style w:type="paragraph" w:styleId="971">
    <w:name w:val="Table Paragraph"/>
    <w:basedOn w:val="916"/>
    <w:next w:val="971"/>
    <w:link w:val="91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72">
    <w:name w:val="Body text_"/>
    <w:next w:val="972"/>
    <w:link w:val="973"/>
    <w:uiPriority w:val="99"/>
    <w:rPr>
      <w:sz w:val="23"/>
      <w:shd w:val="clear" w:color="auto" w:fill="ffffff"/>
    </w:rPr>
  </w:style>
  <w:style w:type="paragraph" w:styleId="973">
    <w:name w:val="Основной текст2"/>
    <w:basedOn w:val="916"/>
    <w:next w:val="973"/>
    <w:link w:val="972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74">
    <w:name w:val="Знак примечания"/>
    <w:next w:val="974"/>
    <w:link w:val="916"/>
    <w:rPr>
      <w:sz w:val="16"/>
      <w:szCs w:val="16"/>
    </w:rPr>
  </w:style>
  <w:style w:type="paragraph" w:styleId="975">
    <w:name w:val="Текст примечания"/>
    <w:basedOn w:val="916"/>
    <w:next w:val="975"/>
    <w:link w:val="976"/>
    <w:rPr>
      <w:sz w:val="20"/>
      <w:szCs w:val="20"/>
    </w:rPr>
  </w:style>
  <w:style w:type="character" w:styleId="976">
    <w:name w:val="Текст примечания Знак"/>
    <w:basedOn w:val="926"/>
    <w:next w:val="976"/>
    <w:link w:val="975"/>
  </w:style>
  <w:style w:type="paragraph" w:styleId="977">
    <w:name w:val="Тема примечания"/>
    <w:basedOn w:val="975"/>
    <w:next w:val="975"/>
    <w:link w:val="978"/>
    <w:rPr>
      <w:b/>
      <w:bCs/>
    </w:rPr>
  </w:style>
  <w:style w:type="character" w:styleId="978">
    <w:name w:val="Тема примечания Знак"/>
    <w:next w:val="978"/>
    <w:link w:val="977"/>
    <w:rPr>
      <w:b/>
      <w:bCs/>
    </w:rPr>
  </w:style>
  <w:style w:type="table" w:styleId="979">
    <w:name w:val="Сетка таблицы1"/>
    <w:basedOn w:val="927"/>
    <w:next w:val="937"/>
    <w:link w:val="916"/>
    <w:uiPriority w:val="39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980">
    <w:name w:val="Style1"/>
    <w:basedOn w:val="916"/>
    <w:next w:val="980"/>
    <w:link w:val="916"/>
    <w:qFormat/>
    <w:pPr>
      <w:jc w:val="both"/>
      <w:spacing w:line="276" w:lineRule="auto"/>
    </w:pPr>
    <w:rPr>
      <w:rFonts w:eastAsia="Calibri" w:cs="Times New Roman"/>
      <w:sz w:val="27"/>
      <w:lang w:eastAsia="en-US"/>
    </w:rPr>
  </w:style>
  <w:style w:type="character" w:styleId="981" w:default="1">
    <w:name w:val="Default Paragraph Font"/>
    <w:uiPriority w:val="1"/>
    <w:semiHidden/>
    <w:unhideWhenUsed/>
  </w:style>
  <w:style w:type="numbering" w:styleId="982" w:default="1">
    <w:name w:val="No List"/>
    <w:uiPriority w:val="99"/>
    <w:semiHidden/>
    <w:unhideWhenUsed/>
  </w:style>
  <w:style w:type="table" w:styleId="983" w:default="1">
    <w:name w:val="Normal Table"/>
    <w:uiPriority w:val="99"/>
    <w:semiHidden/>
    <w:unhideWhenUsed/>
    <w:tblPr/>
  </w:style>
  <w:style w:type="paragraph" w:styleId="984" w:customStyle="1">
    <w:name w:val="Body Text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Microsoft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ma_gribkova</cp:lastModifiedBy>
  <cp:revision>19</cp:revision>
  <dcterms:created xsi:type="dcterms:W3CDTF">2025-06-06T06:16:00Z</dcterms:created>
  <dcterms:modified xsi:type="dcterms:W3CDTF">2026-06-30T09:48:02Z</dcterms:modified>
  <cp:version>983040</cp:version>
</cp:coreProperties>
</file>