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7914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7914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35pt;height:69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ЛЕНИНГРАДСКОЙ ОБЛАСТИ</w:t>
      </w:r>
      <w:r>
        <w:rPr>
          <w:b/>
          <w:sz w:val="28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КОМИТЕТ ПО ФИЗИЧЕСКОЙ КУЛЬТУРЕ И СПОРТУ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ЛЕНИНГРАДСКОЙ ОБЛАСТИ</w:t>
      </w:r>
      <w:r>
        <w:rPr>
          <w:b/>
          <w:sz w:val="28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ПРИКАЗ </w:t>
      </w:r>
      <w:r>
        <w:rPr>
          <w:b/>
          <w:sz w:val="28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_______________ 2026 год  № ____________________</w:t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внесении изменений в приказ комитета по физической культуре и спорту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енинградской области от 19 февраля 2021 года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3-о </w:t>
      </w:r>
      <w:r>
        <w:rPr>
          <w:b/>
          <w:sz w:val="28"/>
          <w:szCs w:val="28"/>
        </w:rPr>
        <w:t xml:space="preserve">«О</w:t>
      </w:r>
      <w:r>
        <w:rPr>
          <w:b/>
          <w:sz w:val="28"/>
          <w:szCs w:val="28"/>
        </w:rPr>
        <w:t xml:space="preserve">б утверждении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орядка определения объема и условий предоставления из областного бюджета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енинградской области субсидий государственным бюджетным и автономным учреждениям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енинградской области, находящимся в ведении комитета по физической культуре и спорту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енинградской области, на иные цели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В связи с принятием постановления Правительства Ленинградской области от 18.06.2026 № 492 «</w:t>
      </w:r>
      <w:r>
        <w:rPr>
          <w:sz w:val="28"/>
        </w:rPr>
        <w:t xml:space="preserve">О внесении изменений в постановление Правительства Ленинградской области от 30 декабря 2015 года № 543 </w:t>
      </w:r>
      <w:r>
        <w:rPr>
          <w:sz w:val="28"/>
        </w:rPr>
        <w:t xml:space="preserve">«</w:t>
      </w:r>
      <w:r>
        <w:rPr>
          <w:sz w:val="28"/>
        </w:rPr>
        <w:t xml:space="preserve">Об утверждении Положения о формировании государственного задания на оказание государственных</w:t>
      </w:r>
      <w:r>
        <w:rPr>
          <w:sz w:val="28"/>
        </w:rPr>
        <w:t xml:space="preserve">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</w:t>
      </w:r>
      <w:r>
        <w:rPr>
          <w:sz w:val="28"/>
        </w:rPr>
        <w:t xml:space="preserve"> признании </w:t>
      </w:r>
      <w:r>
        <w:rPr>
          <w:sz w:val="28"/>
        </w:rPr>
        <w:t xml:space="preserve">утратившими</w:t>
      </w:r>
      <w:r>
        <w:rPr>
          <w:sz w:val="28"/>
        </w:rPr>
        <w:t xml:space="preserve"> силу отдельных постановлений Правительства Ленинградской области</w:t>
      </w:r>
      <w:r>
        <w:rPr>
          <w:sz w:val="28"/>
        </w:rPr>
        <w:t xml:space="preserve">»</w:t>
      </w:r>
      <w:r>
        <w:rPr>
          <w:sz w:val="28"/>
        </w:rPr>
        <w:t xml:space="preserve">, </w:t>
      </w:r>
      <w:r>
        <w:rPr>
          <w:sz w:val="28"/>
        </w:rPr>
        <w:t xml:space="preserve">пункт</w:t>
      </w:r>
      <w:r>
        <w:rPr>
          <w:sz w:val="28"/>
        </w:rPr>
        <w:t xml:space="preserve">ом</w:t>
      </w:r>
      <w:r>
        <w:rPr>
          <w:sz w:val="28"/>
        </w:rPr>
        <w:t xml:space="preserve"> 6 статьи 9.2 Федерального закона от 12</w:t>
      </w:r>
      <w:r>
        <w:rPr>
          <w:sz w:val="28"/>
        </w:rPr>
        <w:t xml:space="preserve">.01.</w:t>
      </w:r>
      <w:r>
        <w:rPr>
          <w:sz w:val="28"/>
        </w:rPr>
        <w:t xml:space="preserve">1996 </w:t>
      </w:r>
      <w:r>
        <w:rPr>
          <w:sz w:val="28"/>
        </w:rPr>
        <w:t xml:space="preserve">№</w:t>
      </w:r>
      <w:r>
        <w:rPr>
          <w:sz w:val="28"/>
        </w:rPr>
        <w:t xml:space="preserve"> 7-ФЗ </w:t>
      </w:r>
      <w:r>
        <w:rPr>
          <w:sz w:val="28"/>
        </w:rPr>
        <w:br/>
        <w:t xml:space="preserve">«</w:t>
      </w:r>
      <w:r>
        <w:rPr>
          <w:sz w:val="28"/>
        </w:rPr>
        <w:t xml:space="preserve">О некоммерческих организациях</w:t>
      </w:r>
      <w:r>
        <w:rPr>
          <w:sz w:val="28"/>
        </w:rPr>
        <w:t xml:space="preserve">», </w:t>
      </w:r>
      <w:r>
        <w:rPr>
          <w:sz w:val="28"/>
        </w:rPr>
        <w:t xml:space="preserve">абзацем вторым пункта 1 статьи 78.1 Бюджетно</w:t>
      </w:r>
      <w:r>
        <w:rPr>
          <w:sz w:val="28"/>
        </w:rPr>
        <w:t xml:space="preserve">го кодекса Российской Федерации, </w:t>
      </w:r>
      <w:r>
        <w:rPr>
          <w:rFonts w:eastAsiaTheme="minorHAnsi"/>
          <w:sz w:val="28"/>
          <w:szCs w:val="28"/>
          <w:lang w:eastAsia="en-US"/>
        </w:rPr>
        <w:t xml:space="preserve">приказываю: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after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1.1.Пункт 4</w:t>
      </w:r>
      <w:r>
        <w:rPr>
          <w:rFonts w:eastAsiaTheme="minorHAnsi"/>
          <w:sz w:val="28"/>
          <w:szCs w:val="28"/>
          <w:lang w:eastAsia="en-US"/>
        </w:rPr>
        <w:t xml:space="preserve"> Порядка дополнить </w:t>
      </w:r>
      <w:r>
        <w:rPr>
          <w:rFonts w:eastAsiaTheme="minorHAnsi"/>
          <w:sz w:val="28"/>
          <w:szCs w:val="28"/>
          <w:lang w:eastAsia="en-US"/>
        </w:rPr>
        <w:t xml:space="preserve">под</w:t>
      </w:r>
      <w:r>
        <w:rPr>
          <w:rFonts w:eastAsiaTheme="minorHAnsi"/>
          <w:sz w:val="28"/>
          <w:szCs w:val="28"/>
          <w:lang w:eastAsia="en-US"/>
        </w:rPr>
        <w:t xml:space="preserve">пунктом: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after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«4.2</w:t>
      </w:r>
      <w:r>
        <w:rPr>
          <w:rFonts w:eastAsiaTheme="minorHAnsi"/>
          <w:sz w:val="28"/>
          <w:szCs w:val="28"/>
          <w:lang w:eastAsia="en-US"/>
        </w:rPr>
        <w:t xml:space="preserve"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Ф</w:t>
      </w:r>
      <w:r>
        <w:rPr>
          <w:sz w:val="28"/>
        </w:rPr>
        <w:t xml:space="preserve">инансовое обеспечение расходов на уплату</w:t>
      </w:r>
      <w:r>
        <w:rPr>
          <w:rFonts w:eastAsiaTheme="minorHAnsi"/>
          <w:sz w:val="28"/>
          <w:szCs w:val="28"/>
          <w:lang w:eastAsia="en-US"/>
        </w:rPr>
        <w:t xml:space="preserve"> налогов, в качестве объекта налогообложения по которым признается имущество, используемое для выполнения государственного задания, в том числе земельные участки.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Размер субсидии на </w:t>
      </w:r>
      <w:r>
        <w:rPr>
          <w:sz w:val="28"/>
        </w:rPr>
        <w:t xml:space="preserve">ф</w:t>
      </w:r>
      <w:r>
        <w:rPr>
          <w:sz w:val="28"/>
        </w:rPr>
        <w:t xml:space="preserve">инансовое обеспечение расходов на уплату налогов, в качестве объекта налогообложения по которым признается </w:t>
      </w:r>
      <w:r>
        <w:rPr>
          <w:rFonts w:eastAsiaTheme="minorHAnsi"/>
          <w:sz w:val="28"/>
          <w:szCs w:val="28"/>
          <w:lang w:eastAsia="en-US"/>
        </w:rPr>
        <w:t xml:space="preserve">имущество, используемое для выполнения государственного задания, в том числе земельные участки</w:t>
      </w:r>
      <w:r>
        <w:rPr>
          <w:rFonts w:eastAsiaTheme="minorHAnsi"/>
          <w:sz w:val="28"/>
          <w:szCs w:val="28"/>
          <w:lang w:eastAsia="en-US"/>
        </w:rPr>
        <w:t xml:space="preserve">, определяется на основании представленной учреждением заявки с </w:t>
      </w:r>
      <w:r>
        <w:rPr>
          <w:rFonts w:eastAsiaTheme="minorHAnsi"/>
          <w:sz w:val="28"/>
          <w:szCs w:val="28"/>
          <w:lang w:eastAsia="en-US"/>
        </w:rPr>
        <w:t xml:space="preserve">приложением расчета-обоснования суммы субсидии на уплату налогов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Результатом предоставления субсидии является количество объектов налогообложения, используемых для выполнения государственного задания, в том числе земельных участко</w:t>
      </w:r>
      <w:r>
        <w:rPr>
          <w:rFonts w:eastAsiaTheme="minorHAnsi"/>
          <w:sz w:val="28"/>
          <w:szCs w:val="28"/>
          <w:lang w:eastAsia="en-US"/>
        </w:rPr>
        <w:t xml:space="preserve">в, по которым оплачены налоги.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получения субсидии учреждения представляют в комитет: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hyperlink r:id="rId12" w:tooltip="https://login.consultant.ru/link/?req=doc&amp;base=SPB&amp;n=312703&amp;dst=100657" w:history="1">
        <w:r>
          <w:rPr>
            <w:rFonts w:eastAsiaTheme="minorHAnsi"/>
            <w:sz w:val="28"/>
            <w:szCs w:val="28"/>
            <w:lang w:eastAsia="en-US"/>
          </w:rPr>
          <w:t xml:space="preserve">заявку</w:t>
        </w:r>
      </w:hyperlink>
      <w:r>
        <w:rPr>
          <w:rFonts w:eastAsiaTheme="minorHAnsi"/>
          <w:sz w:val="28"/>
          <w:szCs w:val="28"/>
          <w:lang w:eastAsia="en-US"/>
        </w:rPr>
        <w:t xml:space="preserve"> с </w:t>
      </w:r>
      <w:r>
        <w:rPr>
          <w:rFonts w:eastAsiaTheme="minorHAnsi"/>
          <w:sz w:val="28"/>
          <w:szCs w:val="28"/>
          <w:lang w:eastAsia="en-US"/>
        </w:rPr>
        <w:t xml:space="preserve">перечнем</w:t>
      </w:r>
      <w:r>
        <w:rPr>
          <w:rFonts w:eastAsiaTheme="minorHAnsi"/>
          <w:sz w:val="28"/>
          <w:szCs w:val="28"/>
          <w:lang w:eastAsia="en-US"/>
        </w:rPr>
        <w:t xml:space="preserve"> наименований</w:t>
      </w:r>
      <w:r>
        <w:rPr>
          <w:rFonts w:eastAsiaTheme="minorHAnsi"/>
          <w:sz w:val="28"/>
          <w:szCs w:val="28"/>
          <w:lang w:eastAsia="en-US"/>
        </w:rPr>
        <w:t xml:space="preserve"> налогов, </w:t>
      </w:r>
      <w:r>
        <w:rPr>
          <w:sz w:val="28"/>
        </w:rPr>
        <w:t xml:space="preserve">в качестве объекта налогообложения по которым признается </w:t>
      </w:r>
      <w:r>
        <w:rPr>
          <w:rFonts w:eastAsiaTheme="minorHAnsi"/>
          <w:sz w:val="28"/>
          <w:szCs w:val="28"/>
          <w:lang w:eastAsia="en-US"/>
        </w:rPr>
        <w:t xml:space="preserve">имущество, используемое для выполнения государственного задания, в том числе земельные участки, уплата которых будет осуществлена</w:t>
      </w:r>
      <w:r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 счет субсидии на иные цели, а также с указанием количества объектов имущества (земельных</w:t>
      </w:r>
      <w:r>
        <w:rPr>
          <w:rFonts w:eastAsiaTheme="minorHAnsi"/>
          <w:sz w:val="28"/>
          <w:szCs w:val="28"/>
          <w:lang w:eastAsia="en-US"/>
        </w:rPr>
        <w:t xml:space="preserve"> участк</w:t>
      </w:r>
      <w:r>
        <w:rPr>
          <w:rFonts w:eastAsiaTheme="minorHAnsi"/>
          <w:sz w:val="28"/>
          <w:szCs w:val="28"/>
          <w:lang w:eastAsia="en-US"/>
        </w:rPr>
        <w:t xml:space="preserve">ов)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форме согласно приложению №1 к настоящему Порядку;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расчет-обоснование суммы субсидии на уплату налогов, в качестве объекта налогообложения по которым признается имущество, используемое для выполнения государс</w:t>
      </w:r>
      <w:r>
        <w:rPr>
          <w:rFonts w:eastAsiaTheme="minorHAnsi"/>
          <w:sz w:val="28"/>
          <w:szCs w:val="28"/>
          <w:lang w:eastAsia="en-US"/>
        </w:rPr>
        <w:t xml:space="preserve">твенного задания, в том числе земельные участки, определяемой исходя из площади земельных участков, кадастровой стоимости земель и земельных участков, остаточной стоимости основных средств, количества транспортных средств, мощности двигателя, ставок налога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асчет-обоснование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составляется в разрезе затрат </w:t>
      </w:r>
      <w:r>
        <w:rPr>
          <w:sz w:val="28"/>
          <w:szCs w:val="28"/>
        </w:rPr>
        <w:t xml:space="preserve"> на уплату налогов на содержание имущества учреждения, </w:t>
      </w:r>
      <w:r>
        <w:rPr>
          <w:rFonts w:eastAsiaTheme="minorHAnsi"/>
          <w:sz w:val="28"/>
          <w:szCs w:val="28"/>
          <w:lang w:eastAsia="en-US"/>
        </w:rPr>
        <w:t xml:space="preserve">используемого  для выполнения государственного задания</w:t>
      </w:r>
      <w:r>
        <w:rPr>
          <w:sz w:val="28"/>
          <w:szCs w:val="28"/>
        </w:rPr>
        <w:t xml:space="preserve"> и сдаваемого учреждениями в аренду.</w:t>
      </w:r>
      <w:r>
        <w:rPr>
          <w:sz w:val="28"/>
          <w:szCs w:val="28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случае если учреждение осуществляет иную приносящую доход деятельность (далее - платная деятельность), затраты, на уплату налогов </w:t>
      </w:r>
      <w:r>
        <w:rPr>
          <w:rFonts w:eastAsiaTheme="minorHAnsi"/>
          <w:sz w:val="28"/>
          <w:szCs w:val="28"/>
          <w:lang w:eastAsia="en-US"/>
        </w:rPr>
        <w:t xml:space="preserve">в качестве объекта налогообложения по которым признается имущество, в том числе земельные участки</w:t>
      </w:r>
      <w:r>
        <w:rPr>
          <w:sz w:val="28"/>
          <w:szCs w:val="28"/>
        </w:rPr>
        <w:t xml:space="preserve">, рассчитываются с применением коэффициента платной деятельности</w:t>
      </w:r>
      <w:r>
        <w:rPr>
          <w:sz w:val="28"/>
          <w:szCs w:val="28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пояснительную записку, содержащую обоснование необходимости осуществления расходов, со ссылкой на нормативные правовые акты, если осуществление указанных расходов требуется в целях реализации положений указанных актов;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справку об отсутств</w:t>
      </w:r>
      <w:r>
        <w:rPr>
          <w:rFonts w:eastAsiaTheme="minorHAnsi"/>
          <w:sz w:val="28"/>
          <w:szCs w:val="28"/>
          <w:lang w:eastAsia="en-US"/>
        </w:rPr>
        <w:t xml:space="preserve">ии у у</w:t>
      </w:r>
      <w:r>
        <w:rPr>
          <w:rFonts w:eastAsiaTheme="minorHAnsi"/>
          <w:sz w:val="28"/>
          <w:szCs w:val="28"/>
          <w:lang w:eastAsia="en-US"/>
        </w:rPr>
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Федерации, за подписью руководителя и главного бухгалтера учреждения.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</w:t>
      </w:r>
      <w:hyperlink r:id="rId13" w:tooltip="https://login.consultant.ru/link/?req=doc&amp;base=SPB&amp;n=302146&amp;dst=100909" w:history="1">
        <w:r>
          <w:rPr>
            <w:rFonts w:eastAsiaTheme="minorHAnsi"/>
            <w:sz w:val="28"/>
            <w:szCs w:val="28"/>
            <w:lang w:eastAsia="en-US"/>
          </w:rPr>
          <w:t xml:space="preserve">абзацах первом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14" w:tooltip="https://login.consultant.ru/link/?req=doc&amp;base=SPB&amp;n=302146&amp;dst=100910" w:history="1">
        <w:r>
          <w:rPr>
            <w:rFonts w:eastAsiaTheme="minorHAnsi"/>
            <w:sz w:val="28"/>
            <w:szCs w:val="28"/>
            <w:lang w:eastAsia="en-US"/>
          </w:rPr>
          <w:t xml:space="preserve">втором пункта 5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5" w:tooltip="https://login.consultant.ru/link/?req=doc&amp;base=SPB&amp;n=302146&amp;dst=100911" w:history="1">
        <w:r>
          <w:rPr>
            <w:rFonts w:eastAsiaTheme="minorHAnsi"/>
            <w:sz w:val="28"/>
            <w:szCs w:val="28"/>
            <w:lang w:eastAsia="en-US"/>
          </w:rPr>
          <w:t xml:space="preserve">подпункте г) пункта 6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6" w:tooltip="https://login.consultant.ru/link/?req=doc&amp;base=SPB&amp;n=302146&amp;dst=100913" w:history="1">
        <w:r>
          <w:rPr>
            <w:rFonts w:eastAsiaTheme="minorHAnsi"/>
            <w:sz w:val="28"/>
            <w:szCs w:val="28"/>
            <w:lang w:eastAsia="en-US"/>
          </w:rPr>
          <w:t xml:space="preserve">подпункте б) пункта 8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7" w:tooltip="https://login.consultant.ru/link/?req=doc&amp;base=SPB&amp;n=302146&amp;dst=100914" w:history="1">
        <w:r>
          <w:rPr>
            <w:rFonts w:eastAsiaTheme="minorHAnsi"/>
            <w:sz w:val="28"/>
            <w:szCs w:val="28"/>
            <w:lang w:eastAsia="en-US"/>
          </w:rPr>
          <w:t xml:space="preserve">пункте 9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8" w:tooltip="https://login.consultant.ru/link/?req=doc&amp;base=SPB&amp;n=302146&amp;dst=100915" w:history="1">
        <w:r>
          <w:rPr>
            <w:rFonts w:eastAsiaTheme="minorHAnsi"/>
            <w:sz w:val="28"/>
            <w:szCs w:val="28"/>
            <w:lang w:eastAsia="en-US"/>
          </w:rPr>
          <w:t xml:space="preserve">подпункте е) пункта 10</w:t>
        </w:r>
      </w:hyperlink>
      <w:r>
        <w:rPr>
          <w:rFonts w:eastAsiaTheme="minorHAnsi"/>
          <w:sz w:val="28"/>
          <w:szCs w:val="28"/>
          <w:lang w:eastAsia="en-US"/>
        </w:rPr>
        <w:t xml:space="preserve"> Порядка цифры «4.2</w:t>
      </w:r>
      <w:r>
        <w:rPr>
          <w:rFonts w:eastAsiaTheme="minorHAnsi"/>
          <w:sz w:val="28"/>
          <w:szCs w:val="28"/>
          <w:lang w:eastAsia="en-US"/>
        </w:rPr>
        <w:t xml:space="preserve">8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 xml:space="preserve">заменить на цифры</w:t>
      </w:r>
      <w:r>
        <w:rPr>
          <w:rFonts w:eastAsiaTheme="minorHAnsi"/>
          <w:sz w:val="28"/>
          <w:szCs w:val="28"/>
          <w:lang w:eastAsia="en-US"/>
        </w:rPr>
        <w:t xml:space="preserve"> «4.2</w:t>
      </w:r>
      <w:r>
        <w:rPr>
          <w:rFonts w:eastAsiaTheme="minorHAnsi"/>
          <w:sz w:val="28"/>
          <w:szCs w:val="28"/>
          <w:lang w:eastAsia="en-US"/>
        </w:rPr>
        <w:t xml:space="preserve">9</w:t>
      </w:r>
      <w:r>
        <w:rPr>
          <w:rFonts w:eastAsiaTheme="minorHAnsi"/>
          <w:sz w:val="28"/>
          <w:szCs w:val="28"/>
          <w:lang w:eastAsia="en-US"/>
        </w:rPr>
        <w:t xml:space="preserve">».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Установить, что действие п</w:t>
      </w:r>
      <w:r>
        <w:rPr>
          <w:rFonts w:eastAsiaTheme="minorHAnsi"/>
          <w:sz w:val="28"/>
          <w:szCs w:val="28"/>
          <w:lang w:eastAsia="en-US"/>
        </w:rPr>
        <w:t xml:space="preserve">одпункта</w:t>
      </w:r>
      <w:r>
        <w:rPr>
          <w:rFonts w:eastAsiaTheme="minorHAnsi"/>
          <w:sz w:val="28"/>
          <w:szCs w:val="28"/>
          <w:lang w:eastAsia="en-US"/>
        </w:rPr>
        <w:t xml:space="preserve"> 4.29. </w:t>
      </w:r>
      <w:r>
        <w:rPr>
          <w:rFonts w:eastAsiaTheme="minorHAnsi"/>
          <w:sz w:val="28"/>
          <w:szCs w:val="28"/>
          <w:lang w:eastAsia="en-US"/>
        </w:rPr>
        <w:t xml:space="preserve">приостановлено до 01.01.2027, </w:t>
      </w:r>
      <w:r>
        <w:rPr>
          <w:rFonts w:eastAsiaTheme="minorHAnsi"/>
          <w:sz w:val="28"/>
          <w:szCs w:val="28"/>
          <w:lang w:eastAsia="en-US"/>
        </w:rPr>
        <w:t xml:space="preserve">за исключением</w:t>
      </w:r>
      <w:r>
        <w:rPr>
          <w:rFonts w:eastAsiaTheme="minorHAnsi"/>
          <w:sz w:val="28"/>
          <w:szCs w:val="28"/>
          <w:lang w:eastAsia="en-US"/>
        </w:rPr>
        <w:t xml:space="preserve"> правоотношени</w:t>
      </w:r>
      <w:r>
        <w:rPr>
          <w:rFonts w:eastAsiaTheme="minorHAnsi"/>
          <w:sz w:val="28"/>
          <w:szCs w:val="28"/>
          <w:lang w:eastAsia="en-US"/>
        </w:rPr>
        <w:t xml:space="preserve">й</w:t>
      </w:r>
      <w:r>
        <w:rPr>
          <w:rFonts w:eastAsiaTheme="minorHAnsi"/>
          <w:sz w:val="28"/>
          <w:szCs w:val="28"/>
          <w:lang w:eastAsia="en-US"/>
        </w:rPr>
        <w:t xml:space="preserve"> в 2026 году, возникающи</w:t>
      </w:r>
      <w:r>
        <w:rPr>
          <w:rFonts w:eastAsiaTheme="minorHAnsi"/>
          <w:sz w:val="28"/>
          <w:szCs w:val="28"/>
          <w:lang w:eastAsia="en-US"/>
        </w:rPr>
        <w:t xml:space="preserve">х</w:t>
      </w:r>
      <w:r>
        <w:rPr>
          <w:rFonts w:eastAsiaTheme="minorHAnsi"/>
          <w:sz w:val="28"/>
          <w:szCs w:val="28"/>
          <w:lang w:eastAsia="en-US"/>
        </w:rPr>
        <w:t xml:space="preserve"> при составлении проекта областного закона об областном бюджете</w:t>
      </w:r>
      <w:r>
        <w:rPr>
          <w:rFonts w:eastAsiaTheme="minorHAnsi"/>
          <w:sz w:val="28"/>
          <w:szCs w:val="28"/>
          <w:lang w:eastAsia="en-US"/>
        </w:rPr>
        <w:t xml:space="preserve">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на 2027 год и на плановый период 2028 и 2029 годов.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Контроль за</w:t>
      </w:r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остается за председателем комитета по физической культуре и спорту Ленинградской области.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Председатель комитета   </w:t>
      </w:r>
      <w:r>
        <w:rPr>
          <w:rFonts w:eastAsiaTheme="minorHAnsi"/>
          <w:b/>
          <w:sz w:val="28"/>
          <w:szCs w:val="28"/>
          <w:lang w:eastAsia="en-US"/>
        </w:rPr>
        <w:tab/>
        <w:t xml:space="preserve">          </w:t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 xml:space="preserve">      </w:t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 xml:space="preserve">     </w:t>
      </w:r>
      <w:r>
        <w:rPr>
          <w:rFonts w:eastAsiaTheme="minorHAnsi"/>
          <w:b/>
          <w:sz w:val="28"/>
          <w:szCs w:val="28"/>
          <w:lang w:eastAsia="en-US"/>
        </w:rPr>
        <w:t xml:space="preserve">В.Н. Комаров</w:t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even" r:id="rId9"/>
      <w:footnotePr/>
      <w:endnotePr/>
      <w:type w:val="nextPage"/>
      <w:pgSz w:w="11906" w:h="16838" w:orient="portrait"/>
      <w:pgMar w:top="851" w:right="707" w:bottom="567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rPr>
        <w:rStyle w:val="682"/>
      </w:rPr>
      <w:framePr w:wrap="around" w:vAnchor="text" w:hAnchor="margin" w:xAlign="center" w:y="1"/>
    </w:pPr>
    <w:r>
      <w:rPr>
        <w:rStyle w:val="682"/>
      </w:rPr>
      <w:fldChar w:fldCharType="begin"/>
    </w:r>
    <w:r>
      <w:rPr>
        <w:rStyle w:val="682"/>
      </w:rPr>
      <w:instrText xml:space="preserve">PAGE  </w:instrText>
    </w:r>
    <w:r>
      <w:rPr>
        <w:rStyle w:val="682"/>
      </w:rPr>
      <w:fldChar w:fldCharType="end"/>
    </w:r>
    <w:r>
      <w:rPr>
        <w:rStyle w:val="682"/>
      </w:rPr>
    </w:r>
  </w:p>
  <w:p>
    <w:pPr>
      <w:pStyle w:val="6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2"/>
    <w:next w:val="67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2"/>
    <w:next w:val="67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2"/>
    <w:next w:val="67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2"/>
    <w:next w:val="67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2"/>
    <w:next w:val="67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2"/>
    <w:next w:val="67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2"/>
    <w:next w:val="67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2"/>
    <w:next w:val="67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2"/>
    <w:next w:val="67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72"/>
    <w:next w:val="67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3"/>
    <w:link w:val="35"/>
    <w:uiPriority w:val="10"/>
    <w:rPr>
      <w:sz w:val="48"/>
      <w:szCs w:val="48"/>
    </w:rPr>
  </w:style>
  <w:style w:type="paragraph" w:styleId="37">
    <w:name w:val="Subtitle"/>
    <w:basedOn w:val="672"/>
    <w:next w:val="67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3"/>
    <w:link w:val="37"/>
    <w:uiPriority w:val="11"/>
    <w:rPr>
      <w:sz w:val="24"/>
      <w:szCs w:val="24"/>
    </w:rPr>
  </w:style>
  <w:style w:type="paragraph" w:styleId="39">
    <w:name w:val="Quote"/>
    <w:basedOn w:val="672"/>
    <w:next w:val="67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2"/>
    <w:next w:val="67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3"/>
    <w:link w:val="680"/>
    <w:uiPriority w:val="99"/>
  </w:style>
  <w:style w:type="character" w:styleId="46">
    <w:name w:val="Footer Char"/>
    <w:basedOn w:val="673"/>
    <w:link w:val="685"/>
    <w:uiPriority w:val="99"/>
  </w:style>
  <w:style w:type="paragraph" w:styleId="47">
    <w:name w:val="Caption"/>
    <w:basedOn w:val="672"/>
    <w:next w:val="67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3"/>
    <w:uiPriority w:val="99"/>
    <w:unhideWhenUsed/>
    <w:rPr>
      <w:vertAlign w:val="superscript"/>
    </w:rPr>
  </w:style>
  <w:style w:type="paragraph" w:styleId="179">
    <w:name w:val="endnote text"/>
    <w:basedOn w:val="67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3"/>
    <w:uiPriority w:val="99"/>
    <w:semiHidden/>
    <w:unhideWhenUsed/>
    <w:rPr>
      <w:vertAlign w:val="superscript"/>
    </w:rPr>
  </w:style>
  <w:style w:type="paragraph" w:styleId="182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67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78">
    <w:name w:val="Balloon Text"/>
    <w:basedOn w:val="672"/>
    <w:link w:val="679"/>
    <w:uiPriority w:val="99"/>
    <w:semiHidden/>
    <w:unhideWhenUsed/>
    <w:rPr>
      <w:rFonts w:ascii="Tahoma" w:hAnsi="Tahoma" w:cs="Tahoma"/>
      <w:sz w:val="16"/>
      <w:szCs w:val="16"/>
    </w:rPr>
  </w:style>
  <w:style w:type="character" w:styleId="679" w:customStyle="1">
    <w:name w:val="Текст выноски Знак"/>
    <w:basedOn w:val="673"/>
    <w:link w:val="67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0">
    <w:name w:val="Header"/>
    <w:basedOn w:val="672"/>
    <w:link w:val="681"/>
    <w:uiPriority w:val="99"/>
    <w:pPr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3"/>
    <w:link w:val="68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82">
    <w:name w:val="page number"/>
    <w:basedOn w:val="673"/>
  </w:style>
  <w:style w:type="paragraph" w:styleId="683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68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85">
    <w:name w:val="Footer"/>
    <w:basedOn w:val="672"/>
    <w:link w:val="6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73"/>
    <w:link w:val="68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687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8">
    <w:name w:val="List Paragraph"/>
    <w:basedOn w:val="672"/>
    <w:uiPriority w:val="34"/>
    <w:qFormat/>
    <w:pPr>
      <w:contextualSpacing/>
      <w:ind w:left="720"/>
    </w:pPr>
  </w:style>
  <w:style w:type="character" w:styleId="689">
    <w:name w:val="Hyperlink"/>
    <w:basedOn w:val="673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SPB&amp;n=312703&amp;dst=100657" TargetMode="External"/><Relationship Id="rId13" Type="http://schemas.openxmlformats.org/officeDocument/2006/relationships/hyperlink" Target="https://login.consultant.ru/link/?req=doc&amp;base=SPB&amp;n=302146&amp;dst=100909" TargetMode="External"/><Relationship Id="rId14" Type="http://schemas.openxmlformats.org/officeDocument/2006/relationships/hyperlink" Target="https://login.consultant.ru/link/?req=doc&amp;base=SPB&amp;n=302146&amp;dst=100910" TargetMode="External"/><Relationship Id="rId15" Type="http://schemas.openxmlformats.org/officeDocument/2006/relationships/hyperlink" Target="https://login.consultant.ru/link/?req=doc&amp;base=SPB&amp;n=302146&amp;dst=100911" TargetMode="External"/><Relationship Id="rId16" Type="http://schemas.openxmlformats.org/officeDocument/2006/relationships/hyperlink" Target="https://login.consultant.ru/link/?req=doc&amp;base=SPB&amp;n=302146&amp;dst=100913" TargetMode="External"/><Relationship Id="rId17" Type="http://schemas.openxmlformats.org/officeDocument/2006/relationships/hyperlink" Target="https://login.consultant.ru/link/?req=doc&amp;base=SPB&amp;n=302146&amp;dst=100914" TargetMode="External"/><Relationship Id="rId18" Type="http://schemas.openxmlformats.org/officeDocument/2006/relationships/hyperlink" Target="https://login.consultant.ru/link/?req=doc&amp;base=SPB&amp;n=302146&amp;dst=1009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B4B7-5048-4D7B-9CE7-6EB1FA89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mn_guseva</cp:lastModifiedBy>
  <cp:revision>3</cp:revision>
  <dcterms:created xsi:type="dcterms:W3CDTF">2026-07-09T13:25:00Z</dcterms:created>
  <dcterms:modified xsi:type="dcterms:W3CDTF">2026-07-09T13:27:51Z</dcterms:modified>
</cp:coreProperties>
</file>