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1"/>
        <w:jc w:val="center"/>
        <w:spacing w:after="0" w:line="240" w:lineRule="auto"/>
        <w:tabs>
          <w:tab w:val="right" w:pos="7655" w:leader="none"/>
        </w:tabs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1684" cy="71429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71684" cy="714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.01pt;height:56.24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spacing w:val="3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pacing w:val="30"/>
          <w:sz w:val="28"/>
          <w:szCs w:val="28"/>
          <w:lang w:eastAsia="ru-RU"/>
        </w:rPr>
        <w:t xml:space="preserve">АДМИНИСТРАЦИЯ ЛЕНИНГРАДСКОЙ ОБЛАСТИ</w:t>
      </w:r>
      <w:r>
        <w:rPr>
          <w:rFonts w:ascii="Times New Roman" w:hAnsi="Times New Roman" w:eastAsia="Times New Roman"/>
          <w:spacing w:val="30"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pacing w:val="30"/>
          <w:sz w:val="28"/>
          <w:szCs w:val="28"/>
        </w:rPr>
      </w:pPr>
      <w:r>
        <w:rPr>
          <w:rFonts w:ascii="Times New Roman" w:hAnsi="Times New Roman" w:eastAsia="Times New Roman"/>
          <w:b/>
          <w:spacing w:val="30"/>
          <w:sz w:val="28"/>
          <w:szCs w:val="28"/>
        </w:rPr>
        <w:t xml:space="preserve">КОМИТЕТ ПО СОХРАНЕНИЮ КУЛЬТУРНОГО НАСЛЕДИЯ ЛЕНИНГРАДСКОЙ ОБЛАСТИ</w:t>
      </w:r>
      <w:r>
        <w:rPr>
          <w:rFonts w:ascii="Times New Roman" w:hAnsi="Times New Roman" w:eastAsia="Times New Roman"/>
          <w:b/>
          <w:spacing w:val="30"/>
          <w:sz w:val="28"/>
          <w:szCs w:val="28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  <w:pBdr>
          <w:bottom w:val="single" w:color="000000" w:sz="12" w:space="1"/>
        </w:pBd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pacing w:val="8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pacing w:val="80"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pacing w:val="80"/>
          <w:sz w:val="24"/>
          <w:szCs w:val="24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36"/>
          <w:szCs w:val="36"/>
          <w:lang w:eastAsia="ru-RU"/>
        </w:rPr>
      </w:pPr>
      <w:r>
        <w:rPr>
          <w:rFonts w:ascii="Times New Roman" w:hAnsi="Times New Roman" w:eastAsia="Times New Roman"/>
          <w:b/>
          <w:sz w:val="36"/>
          <w:szCs w:val="36"/>
          <w:lang w:eastAsia="ru-RU"/>
        </w:rPr>
        <w:t xml:space="preserve">ПРИКАЗ</w:t>
      </w:r>
      <w:r>
        <w:rPr>
          <w:rFonts w:ascii="Times New Roman" w:hAnsi="Times New Roman" w:eastAsia="Times New Roman"/>
          <w:b/>
          <w:sz w:val="36"/>
          <w:szCs w:val="36"/>
          <w:lang w:eastAsia="ru-RU"/>
        </w:rPr>
      </w:r>
    </w:p>
    <w:p>
      <w:pPr>
        <w:ind w:right="-1"/>
        <w:jc w:val="center"/>
        <w:spacing w:after="0" w:line="240" w:lineRule="auto"/>
        <w:tabs>
          <w:tab w:val="right" w:pos="9356" w:leader="none"/>
        </w:tabs>
        <w:rPr>
          <w:rFonts w:ascii="Times New Roman" w:hAnsi="Times New Roman" w:eastAsia="Times New Roman"/>
          <w:sz w:val="10"/>
          <w:szCs w:val="10"/>
          <w:lang w:eastAsia="ru-RU"/>
        </w:rPr>
      </w:pPr>
      <w:r>
        <w:rPr>
          <w:rFonts w:ascii="Times New Roman" w:hAnsi="Times New Roman" w:eastAsia="Times New Roman"/>
          <w:sz w:val="10"/>
          <w:szCs w:val="10"/>
          <w:lang w:eastAsia="ru-RU"/>
        </w:rPr>
      </w:r>
      <w:r>
        <w:rPr>
          <w:rFonts w:ascii="Times New Roman" w:hAnsi="Times New Roman" w:eastAsia="Times New Roman"/>
          <w:sz w:val="10"/>
          <w:szCs w:val="10"/>
          <w:lang w:eastAsia="ru-RU"/>
        </w:rPr>
      </w:r>
    </w:p>
    <w:p>
      <w:pPr>
        <w:ind w:right="-1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«___»______________ 2026 г.</w:t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/>
          <w:sz w:val="28"/>
          <w:szCs w:val="28"/>
          <w:lang w:eastAsia="ru-RU"/>
        </w:rPr>
        <w:tab/>
        <w:t xml:space="preserve">          №____________________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7090" w:right="-1" w:hanging="996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Санкт-Петербург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right="-1"/>
        <w:spacing w:after="0" w:line="240" w:lineRule="auto"/>
        <w:rPr>
          <w:rFonts w:ascii="Times New Roman" w:hAnsi="Times New Roman" w:eastAsia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включении выявленного объекта археологического наследия, </w:t>
      </w:r>
      <w:r>
        <w:rPr>
          <w:rFonts w:ascii="Times New Roman" w:hAnsi="Times New Roman"/>
          <w:b/>
          <w:sz w:val="28"/>
          <w:szCs w:val="28"/>
        </w:rPr>
        <w:br/>
        <w:t xml:space="preserve">«Саккиярви Рави 2», обнаруженного в Выборгском муниципальном районе Ленинградской области, в Перечень выявленных объектов культурного наследия, расположенных на территории Ленинградской области, </w:t>
      </w:r>
      <w:r>
        <w:rPr>
          <w:rFonts w:ascii="Times New Roman" w:hAnsi="Times New Roman"/>
          <w:b/>
          <w:sz w:val="28"/>
          <w:szCs w:val="28"/>
        </w:rPr>
        <w:br/>
        <w:t xml:space="preserve">и утверждении границ его территории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/>
          <w:sz w:val="24"/>
          <w:szCs w:val="24"/>
          <w:u w:val="single"/>
          <w:lang w:eastAsia="ru-RU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соответствии со статьями 3.1, 9.2, 16.1, 45.1 Федерального закона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от 25 июня 2002 года № 73-ФЗ «Об объектах культурного наследия (памятниках истории и культуры) народов Российской Федерации», статьей 4 областного закона Ленинградской области от 25 декабря 2015 года № 140-оз 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«О государственной охране, сохранении, испо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льзовании и популяризации объектов культурного наследия (памятников истории и культуры) народов Российской Федерации», постановлением Правительства Ленинградской области от 21 декабря 2020 года № 839 «Об органах исполнительной власти Ленинградской области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в сфере культуры и туризма», пунктами 2.1.2, 2.3.7 Положения о комитете 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по сохранению культурного наследия Ленинградской области, утвержденного постановлением Правительства Ленинградской области от 24 декабря 2020 года 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№ 850, на основании сведений о выявленном объекте археологического наследия, поступив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ших от Центра спасательной археологии федерального государственного бюджетного учреждения науки Институт истории материальной культуры Российской академии наук (письмо от 15.07.2026 № 24-5023 (14102/33.1-215.2.1-466) (вх. от 16.07.2026 № 01-09-6256/2026),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right="-1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приказываю: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numPr>
          <w:ilvl w:val="0"/>
          <w:numId w:val="1"/>
        </w:numPr>
        <w:ind w:left="0" w:right="-1" w:firstLine="709"/>
        <w:jc w:val="both"/>
        <w:spacing w:after="0" w:line="240" w:lineRule="auto"/>
        <w:tabs>
          <w:tab w:val="left" w:pos="1134" w:leader="none"/>
          <w:tab w:val="clear" w:pos="1260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Включить в Перечень выявленных объектов культурного наследия, расположенных на территории Ленинградской области, выявленный объект археологического наследия «Саккиярви Рави 2», местонахождение: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Ленинградская область, Выборгский район, Селезневское сельское поселение, в 4,39 км к югу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от пос. Кондратьево и в 4 км к северу от оз. Заболотное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 w:right="-1" w:firstLine="709"/>
        <w:jc w:val="both"/>
        <w:spacing w:after="0" w:line="240" w:lineRule="auto"/>
        <w:tabs>
          <w:tab w:val="left" w:pos="1134" w:leader="none"/>
          <w:tab w:val="clear" w:pos="1260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Утвердить границы территории, указанного в пункте 1 настоящего приказа выявленного объекта археологического наследия, согласно приложению 1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к настоящему приказу.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 w:right="-1" w:firstLine="709"/>
        <w:jc w:val="both"/>
        <w:spacing w:after="0" w:line="240" w:lineRule="auto"/>
        <w:tabs>
          <w:tab w:val="left" w:pos="1134" w:leader="none"/>
          <w:tab w:val="clear" w:pos="1260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Установить особый режим использования земельного участка,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 w:type="textWrapping" w:clear="all"/>
        <w:t xml:space="preserve">в границах которого располагается выявленный объект археологического наследия, указанный в пункте 1 настоящего приказа, согласно приложению 2 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к настоящему приказу.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 w:right="-1" w:firstLine="709"/>
        <w:jc w:val="both"/>
        <w:spacing w:after="0" w:line="240" w:lineRule="auto"/>
        <w:tabs>
          <w:tab w:val="left" w:pos="1134" w:leader="none"/>
          <w:tab w:val="clear" w:pos="1260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Принять меры по государственной охране выявленного объекта археологического наследия, указанного в пункте 1 настоящего приказа,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до принятия решения о включении (отказе во включении) его в единый государственный реестр объектов культурного наследия (памятников истории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  <w:t xml:space="preserve">и культуры) народов Российской Федерации.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 w:right="-1" w:firstLine="709"/>
        <w:jc w:val="both"/>
        <w:spacing w:after="0" w:line="240" w:lineRule="auto"/>
        <w:tabs>
          <w:tab w:val="left" w:pos="1134" w:leader="none"/>
          <w:tab w:val="clear" w:pos="1260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Направить уведомление о выявленном объекте археологического наследия собственнику земельного участка и (или) пользователю земельного участка, на котором или в котором обнаружены </w:t>
      </w:r>
      <w:r>
        <w:rPr>
          <w:rFonts w:ascii="Times New Roman" w:hAnsi="Times New Roman"/>
          <w:sz w:val="28"/>
          <w:szCs w:val="28"/>
        </w:rPr>
        <w:t xml:space="preserve">объект археологического наследия, в орган местного самоуправления муниципального образования, на территории которого обнаружен данный объект археологического наследия, территориальный орган федерального органа исполнительной власти, уполномоченного Правите</w:t>
      </w:r>
      <w:r>
        <w:rPr>
          <w:rFonts w:ascii="Times New Roman" w:hAnsi="Times New Roman"/>
          <w:sz w:val="28"/>
          <w:szCs w:val="28"/>
        </w:rPr>
        <w:t xml:space="preserve">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 w:right="-1" w:firstLine="709"/>
        <w:jc w:val="both"/>
        <w:spacing w:after="0" w:line="240" w:lineRule="auto"/>
        <w:tabs>
          <w:tab w:val="left" w:pos="1134" w:leader="none"/>
          <w:tab w:val="clear" w:pos="1260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Обязанность по исполнению пунктов 4, 5 настоящего приказа возложить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специалиста отдела по осуществлению полномочий Ленинградской области</w:t>
      </w:r>
      <w:r>
        <w:rPr>
          <w:rFonts w:ascii="Times New Roman" w:hAnsi="Times New Roman"/>
          <w:sz w:val="28"/>
          <w:szCs w:val="28"/>
        </w:rPr>
        <w:br/>
        <w:t xml:space="preserve">в сфере объектов культурного наследия, курирующего </w:t>
      </w:r>
      <w:r>
        <w:rPr>
          <w:rFonts w:ascii="Times New Roman" w:hAnsi="Times New Roman"/>
          <w:sz w:val="28"/>
          <w:szCs w:val="28"/>
        </w:rPr>
        <w:t xml:space="preserve">Выборгский </w:t>
      </w:r>
      <w:r>
        <w:rPr>
          <w:rFonts w:ascii="Times New Roman" w:hAnsi="Times New Roman"/>
          <w:sz w:val="28"/>
          <w:szCs w:val="28"/>
        </w:rPr>
        <w:t xml:space="preserve">муниципальный район Ленинградской области.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 w:right="-1" w:firstLine="709"/>
        <w:jc w:val="both"/>
        <w:spacing w:after="0" w:line="240" w:lineRule="auto"/>
        <w:tabs>
          <w:tab w:val="left" w:pos="1134" w:leader="none"/>
          <w:tab w:val="clear" w:pos="1260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Контроль за исполнением настоящего приказа оставляю за собой.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ind w:left="0" w:right="-1" w:firstLine="709"/>
        <w:jc w:val="both"/>
        <w:spacing w:after="0" w:line="240" w:lineRule="auto"/>
        <w:tabs>
          <w:tab w:val="left" w:pos="1134" w:leader="none"/>
          <w:tab w:val="clear" w:pos="1260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Настоящий приказ вступает в силу со дня его официального опубликования.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283" w:right="-1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1260" w:right="-1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59"/>
        <w:gridCol w:w="494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5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  <w:t xml:space="preserve">Вице-губернатор Ленинградской области </w:t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  <w:br/>
              <w:t xml:space="preserve">по вопросам развития и сохранения культурного наследия – председатель комитета по сохранению культурного наследия Ленинградской области</w:t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68" w:type="dxa"/>
            <w:textDirection w:val="lrTb"/>
            <w:noWrap w:val="false"/>
          </w:tcPr>
          <w:p>
            <w:pPr>
              <w:jc w:val="right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  <w:p>
            <w:pPr>
              <w:jc w:val="right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  <w:p>
            <w:pPr>
              <w:jc w:val="right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  <w:p>
            <w:pPr>
              <w:jc w:val="right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  <w:p>
            <w:pPr>
              <w:jc w:val="right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  <w:t xml:space="preserve">В.О. Цой</w:t>
            </w:r>
            <w:r>
              <w:rPr>
                <w:rFonts w:ascii="Times New Roman" w:hAnsi="Times New Roman" w:eastAsia="Times New Roman"/>
                <w:sz w:val="27"/>
                <w:szCs w:val="27"/>
                <w:lang w:eastAsia="ru-RU"/>
              </w:rPr>
            </w:r>
          </w:p>
        </w:tc>
      </w:tr>
    </w:tbl>
    <w:p>
      <w:pPr>
        <w:ind w:right="-1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contextualSpacing/>
        <w:ind w:left="4536" w:right="-1"/>
        <w:jc w:val="center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Приложение 1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contextualSpacing/>
        <w:ind w:left="4110" w:right="-1"/>
        <w:jc w:val="center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к приказу комитета по сохранению </w:t>
      </w:r>
      <w:r>
        <w:rPr>
          <w:rFonts w:ascii="Times New Roman" w:hAnsi="Times New Roman" w:eastAsia="Times New Roman"/>
          <w:sz w:val="26"/>
          <w:szCs w:val="26"/>
          <w:lang w:eastAsia="ru-RU"/>
        </w:rPr>
        <w:br/>
        <w:t xml:space="preserve">культурного наследия Ленинградской области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contextualSpacing/>
        <w:ind w:left="4536" w:right="-1"/>
        <w:jc w:val="center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от «___» _____________ 2026 г.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left="4536" w:right="-1"/>
        <w:jc w:val="center"/>
        <w:spacing w:after="0" w:line="240" w:lineRule="auto"/>
        <w:rPr>
          <w:rFonts w:ascii="Times New Roman" w:hAnsi="Times New Roman" w:eastAsia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№ _________________________</w:t>
      </w:r>
      <w:r>
        <w:rPr>
          <w:rFonts w:ascii="Times New Roman" w:hAnsi="Times New Roman" w:eastAsia="Times New Roman"/>
          <w:b/>
          <w:color w:val="000000"/>
          <w:sz w:val="26"/>
          <w:szCs w:val="26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right="-1"/>
        <w:jc w:val="right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Границы территории выявленного объекта археологического наследия</w:t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«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Саккиярви Рави 2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»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</w:p>
    <w:p>
      <w:pPr>
        <w:contextualSpacing/>
        <w:ind w:firstLine="709"/>
        <w:jc w:val="both"/>
        <w:spacing w:after="0" w:line="240" w:lineRule="auto"/>
        <w:rPr>
          <w:sz w:val="26"/>
          <w:szCs w:val="26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Местонахождение объекта: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Ленинградская область, Выборгский район,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С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елезневское сельское поселение, в 4,39 км к югу от пос. Кондратьево и в 4 км </w:t>
      </w:r>
      <w:r>
        <w:rPr>
          <w:rFonts w:ascii="Times New Roman" w:hAnsi="Times New Roman" w:eastAsia="Times New Roman"/>
          <w:sz w:val="26"/>
          <w:szCs w:val="26"/>
          <w:lang w:eastAsia="ru-RU"/>
        </w:rPr>
        <w:br/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к северу от оз. Заболотное</w:t>
      </w:r>
      <w:r>
        <w:rPr>
          <w:sz w:val="26"/>
          <w:szCs w:val="26"/>
        </w:rPr>
      </w:r>
    </w:p>
    <w:p>
      <w:pPr>
        <w:contextualSpacing/>
        <w:ind w:right="-1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contextualSpacing/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Карта (схема) границ территории выявленного объекта археологического наследия «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Саккиярви Рави 2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»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/>
          <w:sz w:val="28"/>
          <w:szCs w:val="28"/>
          <w:highlight w:val="yellow"/>
        </w:rPr>
      </w:r>
      <w:r>
        <w:rPr>
          <w:rFonts w:ascii="Times New Roman" w:hAnsi="Times New Roman" w:eastAsia="Times New Roman"/>
          <w:sz w:val="28"/>
          <w:szCs w:val="28"/>
          <w:highlight w:val="yellow"/>
        </w:rPr>
      </w:r>
    </w:p>
    <w:p>
      <w:pPr>
        <w:ind w:left="-425" w:right="-1"/>
        <w:jc w:val="center"/>
        <w:spacing w:after="0" w:line="240" w:lineRule="auto"/>
        <w:rPr>
          <w:rFonts w:ascii="Times New Roman" w:hAnsi="Times New Roman" w:eastAsia="Times New Roman"/>
          <w:strike/>
          <w:sz w:val="28"/>
          <w:szCs w:val="28"/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942608" cy="5562282"/>
                <wp:effectExtent l="0" t="0" r="127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2853841" name="Рисунок 164285384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952549" cy="55763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10.44pt;height:437.97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/>
          <w:strike/>
          <w:sz w:val="28"/>
          <w:szCs w:val="28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sectPr>
          <w:footnotePr/>
          <w:endnotePr/>
          <w:type w:val="nextPage"/>
          <w:pgSz w:w="11906" w:h="16838" w:orient="portrait"/>
          <w:pgMar w:top="1134" w:right="567" w:bottom="1134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942608" cy="5513679"/>
                <wp:effectExtent l="0" t="0" r="1270" b="0"/>
                <wp:docPr id="3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3958831" cy="553636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10.44pt;height:434.1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eastAsia="Times New Roman"/>
          <w:b/>
          <w:color w:val="000000"/>
          <w:sz w:val="26"/>
          <w:szCs w:val="26"/>
        </w:rPr>
        <w:t xml:space="preserve">Перечень координат поворотных точек и описание границы</w:t>
      </w:r>
      <w:r>
        <w:rPr>
          <w:rFonts w:ascii="Times New Roman" w:hAnsi="Times New Roman" w:eastAsia="Times New Roman"/>
          <w:b/>
          <w:color w:val="000000"/>
          <w:sz w:val="26"/>
          <w:szCs w:val="26"/>
        </w:rPr>
        <w:br/>
        <w:t xml:space="preserve">выявленного объекта археологического наследия </w:t>
      </w:r>
      <w:r>
        <w:rPr>
          <w:rFonts w:ascii="Times New Roman" w:hAnsi="Times New Roman" w:eastAsia="Times New Roman"/>
          <w:b/>
          <w:bCs/>
          <w:color w:val="000000"/>
          <w:sz w:val="26"/>
          <w:szCs w:val="26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«</w:t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Саккиярви Рави 2</w:t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»</w:t>
      </w:r>
      <w:r>
        <w:rPr>
          <w:rFonts w:ascii="Times New Roman" w:hAnsi="Times New Roman" w:eastAsia="Times New Roman"/>
          <w:b/>
          <w:bCs/>
          <w:color w:val="000000"/>
          <w:sz w:val="26"/>
          <w:szCs w:val="26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bCs/>
          <w:sz w:val="26"/>
          <w:szCs w:val="26"/>
          <w:highlight w:val="white"/>
          <w:lang w:eastAsia="ru-RU"/>
        </w:rPr>
        <w:t xml:space="preserve">(МСК-47 зона 1)</w:t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/>
          <w:b/>
          <w:bCs/>
          <w:color w:val="000000"/>
          <w:sz w:val="4"/>
          <w:szCs w:val="4"/>
        </w:rPr>
      </w:pPr>
      <w:r>
        <w:rPr>
          <w:rFonts w:ascii="Times New Roman" w:hAnsi="Times New Roman" w:eastAsia="Times New Roman"/>
          <w:b/>
          <w:bCs/>
          <w:color w:val="000000"/>
          <w:sz w:val="4"/>
          <w:szCs w:val="4"/>
        </w:rPr>
      </w:r>
      <w:r>
        <w:rPr>
          <w:rFonts w:ascii="Times New Roman" w:hAnsi="Times New Roman" w:eastAsia="Times New Roman"/>
          <w:b/>
          <w:bCs/>
          <w:color w:val="000000"/>
          <w:sz w:val="4"/>
          <w:szCs w:val="4"/>
        </w:rPr>
      </w:r>
    </w:p>
    <w:tbl>
      <w:tblPr>
        <w:tblStyle w:val="700"/>
        <w:tblW w:w="0" w:type="auto"/>
        <w:tblLayout w:type="fixed"/>
        <w:tblLook w:val="04A0" w:firstRow="1" w:lastRow="0" w:firstColumn="1" w:lastColumn="0" w:noHBand="0" w:noVBand="1"/>
      </w:tblPr>
      <w:tblGrid>
        <w:gridCol w:w="1000"/>
        <w:gridCol w:w="3827"/>
        <w:gridCol w:w="4252"/>
      </w:tblGrid>
      <w:tr>
        <w:tblPrEx/>
        <w:trPr>
          <w:trHeight w:val="35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  <w:t xml:space="preserve">№ точки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  <w:t xml:space="preserve">X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  <w:t xml:space="preserve">Y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7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508421,3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2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1263675,38</w:t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7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508430,2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2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1263714,18</w:t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7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508356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2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1263712,85</w:t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  <w:t xml:space="preserve">4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7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508356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2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1263688,72</w:t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  <w:t xml:space="preserve">5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7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508348,6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2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1263674,07</w:t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827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508421,3</w:t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2" w:type="dxa"/>
            <w:vAlign w:val="bottom"/>
            <w:textDirection w:val="lrTb"/>
            <w:noWrap w:val="false"/>
          </w:tcPr>
          <w:p>
            <w:pPr>
              <w:pStyle w:val="8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1263675,38</w:t>
            </w:r>
            <w:r>
              <w:rPr>
                <w:sz w:val="26"/>
                <w:szCs w:val="26"/>
              </w:rPr>
            </w:r>
          </w:p>
        </w:tc>
      </w:tr>
    </w:tbl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</w:r>
    </w:p>
    <w:p>
      <w:pPr>
        <w:ind w:left="0" w:right="0" w:firstLine="850"/>
        <w:jc w:val="both"/>
        <w:spacing w:after="0" w:line="240" w:lineRule="auto"/>
        <w:rPr>
          <w:rFonts w:ascii="Times New Roman" w:hAnsi="Times New Roman"/>
          <w:color w:val="272727"/>
          <w:sz w:val="26"/>
          <w:szCs w:val="26"/>
          <w:lang w:eastAsia="zh-CN"/>
        </w:rPr>
      </w:pPr>
      <w:r>
        <w:rPr>
          <w:rFonts w:ascii="Times New Roman" w:hAnsi="Times New Roman"/>
          <w:color w:val="272727"/>
          <w:sz w:val="26"/>
          <w:szCs w:val="26"/>
          <w:lang w:eastAsia="zh-CN"/>
        </w:rPr>
        <w:t xml:space="preserve">Территория </w:t>
      </w:r>
      <w:r>
        <w:rPr>
          <w:rFonts w:ascii="Times New Roman" w:hAnsi="Times New Roman"/>
          <w:color w:val="272727"/>
          <w:sz w:val="26"/>
          <w:szCs w:val="26"/>
          <w:lang w:eastAsia="zh-CN"/>
        </w:rPr>
        <w:t xml:space="preserve">объекта археологического наследия</w:t>
      </w:r>
      <w:r>
        <w:rPr>
          <w:rFonts w:ascii="Times New Roman" w:hAnsi="Times New Roman"/>
          <w:color w:val="272727"/>
          <w:sz w:val="26"/>
          <w:szCs w:val="26"/>
          <w:lang w:eastAsia="zh-CN"/>
        </w:rPr>
        <w:t xml:space="preserve"> представляет собой пятиугольник размерами 75x40 м.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272727"/>
          <w:sz w:val="26"/>
          <w:szCs w:val="26"/>
          <w:lang w:eastAsia="zh-CN"/>
        </w:rPr>
        <w:t xml:space="preserve">Общий периметр границы территории объекта археологического наследия составляет 227,3 м.</w:t>
      </w:r>
      <w:r>
        <w:rPr>
          <w:rFonts w:ascii="Times New Roman" w:hAnsi="Times New Roman"/>
          <w:color w:val="272727"/>
          <w:sz w:val="26"/>
          <w:szCs w:val="26"/>
          <w:lang w:eastAsia="zh-CN"/>
        </w:rPr>
        <w:t xml:space="preserve"> </w:t>
      </w:r>
      <w:r>
        <w:rPr>
          <w:rFonts w:ascii="Times New Roman" w:hAnsi="Times New Roman"/>
          <w:color w:val="272727"/>
          <w:sz w:val="26"/>
          <w:szCs w:val="26"/>
          <w:lang w:eastAsia="zh-CN"/>
        </w:rPr>
        <w:t xml:space="preserve">Площадь территории объекта археологического наследия 2750,4 кв. м.</w:t>
      </w:r>
      <w:r>
        <w:rPr>
          <w:rFonts w:ascii="Times New Roman" w:hAnsi="Times New Roman"/>
          <w:color w:val="272727"/>
          <w:sz w:val="26"/>
          <w:szCs w:val="26"/>
          <w:lang w:eastAsia="zh-CN"/>
        </w:rPr>
      </w:r>
    </w:p>
    <w:p>
      <w:pPr>
        <w:spacing w:after="0" w:line="240" w:lineRule="auto"/>
        <w:rPr>
          <w:rFonts w:ascii="Times New Roman" w:hAnsi="Times New Roman"/>
          <w:color w:val="272727"/>
          <w:sz w:val="26"/>
          <w:szCs w:val="26"/>
          <w:lang w:eastAsia="zh-CN"/>
        </w:rPr>
      </w:pPr>
      <w:r>
        <w:rPr>
          <w:rFonts w:ascii="Times New Roman" w:hAnsi="Times New Roman"/>
          <w:color w:val="272727"/>
          <w:sz w:val="26"/>
          <w:szCs w:val="26"/>
          <w:lang w:eastAsia="zh-CN"/>
        </w:rPr>
        <w:t xml:space="preserve">От точки 1 до точки 2 - 40 м на восток-северо-восток по лесу;</w:t>
      </w:r>
      <w:r>
        <w:rPr>
          <w:rFonts w:ascii="Times New Roman" w:hAnsi="Times New Roman"/>
          <w:color w:val="272727"/>
          <w:sz w:val="26"/>
          <w:szCs w:val="26"/>
          <w:lang w:eastAsia="zh-CN"/>
        </w:rPr>
      </w:r>
    </w:p>
    <w:p>
      <w:pPr>
        <w:spacing w:after="0" w:line="240" w:lineRule="auto"/>
        <w:rPr>
          <w:rFonts w:ascii="Times New Roman" w:hAnsi="Times New Roman"/>
          <w:color w:val="272727"/>
          <w:sz w:val="26"/>
          <w:szCs w:val="26"/>
          <w:lang w:eastAsia="zh-CN"/>
        </w:rPr>
      </w:pPr>
      <w:r>
        <w:rPr>
          <w:rFonts w:ascii="Times New Roman" w:hAnsi="Times New Roman"/>
          <w:color w:val="272727"/>
          <w:sz w:val="26"/>
          <w:szCs w:val="26"/>
          <w:lang w:eastAsia="zh-CN"/>
        </w:rPr>
        <w:t xml:space="preserve">От точки 2 до точки 3 - 74,2 м на юг по лесу;</w:t>
      </w:r>
      <w:r>
        <w:rPr>
          <w:rFonts w:ascii="Times New Roman" w:hAnsi="Times New Roman"/>
          <w:color w:val="272727"/>
          <w:sz w:val="26"/>
          <w:szCs w:val="26"/>
          <w:lang w:eastAsia="zh-CN"/>
        </w:rPr>
      </w:r>
    </w:p>
    <w:p>
      <w:pPr>
        <w:spacing w:after="0" w:line="240" w:lineRule="auto"/>
        <w:rPr>
          <w:rFonts w:ascii="Times New Roman" w:hAnsi="Times New Roman"/>
          <w:color w:val="272727"/>
          <w:sz w:val="26"/>
          <w:szCs w:val="26"/>
          <w:lang w:eastAsia="zh-CN"/>
        </w:rPr>
      </w:pPr>
      <w:r>
        <w:rPr>
          <w:rFonts w:ascii="Times New Roman" w:hAnsi="Times New Roman"/>
          <w:color w:val="272727"/>
          <w:sz w:val="26"/>
          <w:szCs w:val="26"/>
          <w:lang w:eastAsia="zh-CN"/>
        </w:rPr>
        <w:t xml:space="preserve">От точки 3 до точки 4 - 24,13 м на запад вдоль края карьера;</w:t>
      </w:r>
      <w:r>
        <w:rPr>
          <w:rFonts w:ascii="Times New Roman" w:hAnsi="Times New Roman"/>
          <w:color w:val="272727"/>
          <w:sz w:val="26"/>
          <w:szCs w:val="26"/>
          <w:lang w:eastAsia="zh-CN"/>
        </w:rPr>
      </w:r>
    </w:p>
    <w:p>
      <w:pPr>
        <w:spacing w:after="0" w:line="240" w:lineRule="auto"/>
        <w:rPr>
          <w:rFonts w:ascii="Times New Roman" w:hAnsi="Times New Roman"/>
          <w:color w:val="272727"/>
          <w:sz w:val="26"/>
          <w:szCs w:val="26"/>
          <w:lang w:eastAsia="zh-CN"/>
        </w:rPr>
      </w:pPr>
      <w:r>
        <w:rPr>
          <w:rFonts w:ascii="Times New Roman" w:hAnsi="Times New Roman"/>
          <w:color w:val="272727"/>
          <w:sz w:val="26"/>
          <w:szCs w:val="26"/>
          <w:lang w:eastAsia="zh-CN"/>
        </w:rPr>
        <w:t xml:space="preserve">От точки 4 до точки 5 - 16,4 на юго-запад вдоль края карьера;</w:t>
      </w:r>
      <w:r>
        <w:rPr>
          <w:rFonts w:ascii="Times New Roman" w:hAnsi="Times New Roman"/>
          <w:color w:val="272727"/>
          <w:sz w:val="26"/>
          <w:szCs w:val="26"/>
          <w:lang w:eastAsia="zh-CN"/>
        </w:rPr>
      </w:r>
    </w:p>
    <w:p>
      <w:pPr>
        <w:spacing w:after="0" w:line="240" w:lineRule="auto"/>
        <w:rPr>
          <w:rFonts w:ascii="Times New Roman" w:hAnsi="Times New Roman"/>
          <w:color w:val="272727"/>
          <w:sz w:val="26"/>
          <w:szCs w:val="26"/>
          <w:lang w:eastAsia="zh-CN"/>
        </w:rPr>
      </w:pPr>
      <w:r>
        <w:rPr>
          <w:rFonts w:ascii="Times New Roman" w:hAnsi="Times New Roman"/>
          <w:color w:val="272727"/>
          <w:sz w:val="26"/>
          <w:szCs w:val="26"/>
          <w:lang w:eastAsia="zh-CN"/>
        </w:rPr>
        <w:t xml:space="preserve">От точки 5 до точки 1 - </w:t>
      </w:r>
      <w:r>
        <w:rPr>
          <w:rFonts w:ascii="Times New Roman" w:hAnsi="Times New Roman"/>
          <w:color w:val="272727"/>
          <w:sz w:val="26"/>
          <w:szCs w:val="26"/>
          <w:lang w:eastAsia="zh-CN"/>
        </w:rPr>
        <w:t xml:space="preserve">72,7 м на север вдоль грунтовой дороги в пос.</w:t>
      </w:r>
      <w:r>
        <w:rPr>
          <w:rFonts w:ascii="Times New Roman" w:hAnsi="Times New Roman"/>
          <w:color w:val="272727"/>
          <w:sz w:val="26"/>
          <w:szCs w:val="26"/>
          <w:lang w:eastAsia="zh-CN"/>
        </w:rPr>
        <w:t xml:space="preserve"> </w:t>
      </w:r>
      <w:r>
        <w:rPr>
          <w:rFonts w:ascii="Times New Roman" w:hAnsi="Times New Roman"/>
          <w:color w:val="272727"/>
          <w:sz w:val="26"/>
          <w:szCs w:val="26"/>
          <w:lang w:eastAsia="zh-CN"/>
        </w:rPr>
        <w:t xml:space="preserve">Кондратьев</w:t>
      </w:r>
      <w:r>
        <w:rPr>
          <w:rFonts w:ascii="Times New Roman" w:hAnsi="Times New Roman"/>
          <w:color w:val="272727"/>
          <w:sz w:val="26"/>
          <w:szCs w:val="26"/>
          <w:lang w:eastAsia="zh-CN"/>
        </w:rPr>
        <w:t xml:space="preserve">о</w:t>
      </w:r>
      <w:r>
        <w:rPr>
          <w:rFonts w:ascii="Times New Roman" w:hAnsi="Times New Roman"/>
          <w:color w:val="272727"/>
          <w:sz w:val="26"/>
          <w:szCs w:val="26"/>
          <w:lang w:eastAsia="zh-CN"/>
        </w:rPr>
      </w:r>
    </w:p>
    <w:p>
      <w:pPr>
        <w:ind w:right="-1"/>
        <w:jc w:val="both"/>
        <w:spacing w:after="0" w:line="240" w:lineRule="auto"/>
        <w:rPr>
          <w:rFonts w:ascii="Times New Roman" w:hAnsi="Times New Roman" w:eastAsia="Times New Roman"/>
          <w:b/>
          <w:bCs/>
          <w:sz w:val="26"/>
          <w:szCs w:val="26"/>
        </w:rPr>
      </w:pPr>
      <w:r>
        <w:rPr>
          <w:rFonts w:ascii="Times New Roman" w:hAnsi="Times New Roman" w:eastAsia="Times New Roman"/>
          <w:b/>
          <w:bCs/>
          <w:sz w:val="26"/>
          <w:szCs w:val="26"/>
        </w:rPr>
      </w:r>
      <w:r>
        <w:rPr>
          <w:rFonts w:ascii="Times New Roman" w:hAnsi="Times New Roman" w:eastAsia="Times New Roman"/>
          <w:b/>
          <w:bCs/>
          <w:sz w:val="26"/>
          <w:szCs w:val="26"/>
        </w:rPr>
      </w:r>
    </w:p>
    <w:p>
      <w:pPr>
        <w:ind w:right="-1"/>
        <w:jc w:val="both"/>
        <w:spacing w:after="0" w:line="240" w:lineRule="auto"/>
        <w:rPr>
          <w:rFonts w:ascii="Times New Roman" w:hAnsi="Times New Roman" w:eastAsia="Times New Roman"/>
          <w:b/>
          <w:bCs/>
          <w:sz w:val="26"/>
          <w:szCs w:val="26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/>
          <w:b/>
          <w:bCs/>
          <w:sz w:val="26"/>
          <w:szCs w:val="26"/>
        </w:rPr>
      </w:r>
      <w:r>
        <w:rPr>
          <w:rFonts w:ascii="Times New Roman" w:hAnsi="Times New Roman" w:eastAsia="Times New Roman"/>
          <w:b/>
          <w:bCs/>
          <w:sz w:val="26"/>
          <w:szCs w:val="26"/>
        </w:rPr>
      </w:r>
    </w:p>
    <w:p>
      <w:pPr>
        <w:contextualSpacing/>
        <w:ind w:left="4536" w:right="-1"/>
        <w:jc w:val="center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Приложение 2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contextualSpacing/>
        <w:ind w:left="4110" w:right="-1"/>
        <w:jc w:val="center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к приказу комитета по сохранению </w:t>
      </w:r>
      <w:r>
        <w:rPr>
          <w:rFonts w:ascii="Times New Roman" w:hAnsi="Times New Roman" w:eastAsia="Times New Roman"/>
          <w:sz w:val="26"/>
          <w:szCs w:val="26"/>
          <w:lang w:eastAsia="ru-RU"/>
        </w:rPr>
        <w:br/>
        <w:t xml:space="preserve">культурного наследия Ленинградской области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contextualSpacing/>
        <w:ind w:left="4536" w:right="-1"/>
        <w:jc w:val="center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от «___» _____________ 2026 г.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left="4536" w:right="-1"/>
        <w:jc w:val="center"/>
        <w:spacing w:after="0" w:line="240" w:lineRule="auto"/>
        <w:rPr>
          <w:rFonts w:ascii="Times New Roman" w:hAnsi="Times New Roman" w:eastAsia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№ _________________________</w:t>
      </w:r>
      <w:r>
        <w:rPr>
          <w:rFonts w:ascii="Times New Roman" w:hAnsi="Times New Roman" w:eastAsia="Times New Roman"/>
          <w:b/>
          <w:color w:val="000000"/>
          <w:sz w:val="26"/>
          <w:szCs w:val="26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26"/>
          <w:szCs w:val="26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26"/>
          <w:szCs w:val="26"/>
          <w:lang w:eastAsia="ru-RU"/>
        </w:rPr>
      </w:r>
    </w:p>
    <w:p>
      <w:pPr>
        <w:ind w:right="-1"/>
        <w:jc w:val="center"/>
        <w:spacing w:after="0" w:line="240" w:lineRule="auto"/>
        <w:rPr>
          <w:rFonts w:ascii="Times New Roman" w:hAnsi="Times New Roman" w:eastAsia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Особый режим использования земельных участков в границах территории выявленного объекта археологического наследия 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  <w:br/>
        <w:t xml:space="preserve">«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Саккиярви Рави 2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»</w:t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</w:r>
    </w:p>
    <w:p>
      <w:pPr>
        <w:ind w:right="-1" w:firstLine="708"/>
        <w:jc w:val="center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ind w:right="-1" w:firstLine="708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В соответствии со статьей 5.1 Федерального закона от 25 июня 2002 года</w:t>
      </w:r>
      <w:r>
        <w:rPr>
          <w:rFonts w:ascii="Times New Roman" w:hAnsi="Times New Roman" w:eastAsia="Times New Roman"/>
          <w:sz w:val="26"/>
          <w:szCs w:val="26"/>
          <w:lang w:eastAsia="ru-RU"/>
        </w:rPr>
        <w:br/>
        <w:t xml:space="preserve">№ 73-ФЗ «Об объектах культурного наследия (памятниках истории и культуры) народов Российской Федерации» в границах объекта археологического наследия устанавливается особый режим использования земельного участка, который предусматривает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возможность проведения археологических полевых работ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в порядке, установленном статьей 45.1 Федерального закона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№ 73-ФЗ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, земляных, строительных, мелиоративных, хозяйственных работ, указанных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в статье 30 Федерального закона № 73-ФЗ работ </w:t>
      </w:r>
      <w:r>
        <w:rPr>
          <w:rFonts w:ascii="Times New Roman" w:hAnsi="Times New Roman"/>
          <w:sz w:val="26"/>
          <w:szCs w:val="26"/>
          <w:shd w:val="clear" w:color="auto" w:fill="ffffff"/>
        </w:rPr>
        <w:br/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по использованию лесов и иных работ при условии обеспечения сохранности выявленного объекта археологического наследия, а также обеспечения доступа граждан к указанному объекту.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sectPr>
      <w:footnotePr/>
      <w:endnotePr/>
      <w:type w:val="nextPage"/>
      <w:pgSz w:w="11906" w:h="16838" w:orient="portrait"/>
      <w:pgMar w:top="1134" w:right="567" w:bottom="1134" w:left="141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64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6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8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0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2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4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6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8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03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72"/>
    <w:link w:val="66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72"/>
    <w:link w:val="664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72"/>
    <w:link w:val="66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72"/>
    <w:link w:val="66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72"/>
    <w:link w:val="6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72"/>
    <w:link w:val="66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72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72"/>
    <w:link w:val="67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72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72"/>
    <w:link w:val="686"/>
    <w:uiPriority w:val="10"/>
    <w:rPr>
      <w:sz w:val="48"/>
      <w:szCs w:val="48"/>
    </w:rPr>
  </w:style>
  <w:style w:type="character" w:styleId="38">
    <w:name w:val="Subtitle Char"/>
    <w:basedOn w:val="672"/>
    <w:link w:val="688"/>
    <w:uiPriority w:val="11"/>
    <w:rPr>
      <w:sz w:val="24"/>
      <w:szCs w:val="24"/>
    </w:rPr>
  </w:style>
  <w:style w:type="character" w:styleId="40">
    <w:name w:val="Quote Char"/>
    <w:link w:val="690"/>
    <w:uiPriority w:val="29"/>
    <w:rPr>
      <w:i/>
    </w:rPr>
  </w:style>
  <w:style w:type="character" w:styleId="42">
    <w:name w:val="Intense Quote Char"/>
    <w:link w:val="692"/>
    <w:uiPriority w:val="30"/>
    <w:rPr>
      <w:i/>
    </w:rPr>
  </w:style>
  <w:style w:type="character" w:styleId="44">
    <w:name w:val="Header Char"/>
    <w:basedOn w:val="672"/>
    <w:link w:val="694"/>
    <w:uiPriority w:val="99"/>
  </w:style>
  <w:style w:type="character" w:styleId="46">
    <w:name w:val="Footer Char"/>
    <w:basedOn w:val="672"/>
    <w:link w:val="696"/>
    <w:uiPriority w:val="99"/>
  </w:style>
  <w:style w:type="character" w:styleId="48">
    <w:name w:val="Caption Char"/>
    <w:basedOn w:val="672"/>
    <w:link w:val="698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27"/>
    <w:uiPriority w:val="99"/>
    <w:rPr>
      <w:sz w:val="18"/>
    </w:rPr>
  </w:style>
  <w:style w:type="character" w:styleId="180">
    <w:name w:val="Endnote Text Char"/>
    <w:link w:val="830"/>
    <w:uiPriority w:val="99"/>
    <w:rPr>
      <w:sz w:val="20"/>
    </w:rPr>
  </w:style>
  <w:style w:type="paragraph" w:styleId="662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663">
    <w:name w:val="Heading 1"/>
    <w:basedOn w:val="662"/>
    <w:next w:val="662"/>
    <w:link w:val="675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64">
    <w:name w:val="Heading 2"/>
    <w:basedOn w:val="662"/>
    <w:next w:val="662"/>
    <w:link w:val="676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65">
    <w:name w:val="Heading 3"/>
    <w:basedOn w:val="662"/>
    <w:next w:val="662"/>
    <w:link w:val="677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66">
    <w:name w:val="Heading 4"/>
    <w:basedOn w:val="662"/>
    <w:next w:val="662"/>
    <w:link w:val="67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662"/>
    <w:next w:val="662"/>
    <w:link w:val="679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662"/>
    <w:next w:val="662"/>
    <w:link w:val="68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9">
    <w:name w:val="Heading 7"/>
    <w:basedOn w:val="662"/>
    <w:next w:val="662"/>
    <w:link w:val="681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70">
    <w:name w:val="Heading 8"/>
    <w:basedOn w:val="662"/>
    <w:next w:val="662"/>
    <w:link w:val="682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71">
    <w:name w:val="Heading 9"/>
    <w:basedOn w:val="662"/>
    <w:next w:val="662"/>
    <w:link w:val="68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 w:default="1">
    <w:name w:val="Default Paragraph Font"/>
    <w:uiPriority w:val="1"/>
    <w:unhideWhenUsed/>
  </w:style>
  <w:style w:type="table" w:styleId="6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4" w:default="1">
    <w:name w:val="No List"/>
    <w:uiPriority w:val="99"/>
    <w:semiHidden/>
    <w:unhideWhenUsed/>
  </w:style>
  <w:style w:type="character" w:styleId="675" w:customStyle="1">
    <w:name w:val="Заголовок 1 Знак"/>
    <w:link w:val="663"/>
    <w:uiPriority w:val="9"/>
    <w:rPr>
      <w:rFonts w:ascii="Arial" w:hAnsi="Arial" w:eastAsia="Arial" w:cs="Arial"/>
      <w:sz w:val="40"/>
      <w:szCs w:val="40"/>
    </w:rPr>
  </w:style>
  <w:style w:type="character" w:styleId="676" w:customStyle="1">
    <w:name w:val="Заголовок 2 Знак"/>
    <w:link w:val="664"/>
    <w:uiPriority w:val="9"/>
    <w:rPr>
      <w:rFonts w:ascii="Arial" w:hAnsi="Arial" w:eastAsia="Arial" w:cs="Arial"/>
      <w:sz w:val="34"/>
    </w:rPr>
  </w:style>
  <w:style w:type="character" w:styleId="677" w:customStyle="1">
    <w:name w:val="Заголовок 3 Знак"/>
    <w:link w:val="665"/>
    <w:uiPriority w:val="9"/>
    <w:rPr>
      <w:rFonts w:ascii="Arial" w:hAnsi="Arial" w:eastAsia="Arial" w:cs="Arial"/>
      <w:sz w:val="30"/>
      <w:szCs w:val="30"/>
    </w:rPr>
  </w:style>
  <w:style w:type="character" w:styleId="678" w:customStyle="1">
    <w:name w:val="Заголовок 4 Знак"/>
    <w:link w:val="666"/>
    <w:uiPriority w:val="9"/>
    <w:rPr>
      <w:rFonts w:ascii="Arial" w:hAnsi="Arial" w:eastAsia="Arial" w:cs="Arial"/>
      <w:b/>
      <w:bCs/>
      <w:sz w:val="26"/>
      <w:szCs w:val="26"/>
    </w:rPr>
  </w:style>
  <w:style w:type="character" w:styleId="679" w:customStyle="1">
    <w:name w:val="Заголовок 5 Знак"/>
    <w:link w:val="667"/>
    <w:uiPriority w:val="9"/>
    <w:rPr>
      <w:rFonts w:ascii="Arial" w:hAnsi="Arial" w:eastAsia="Arial" w:cs="Arial"/>
      <w:b/>
      <w:bCs/>
      <w:sz w:val="24"/>
      <w:szCs w:val="24"/>
    </w:rPr>
  </w:style>
  <w:style w:type="character" w:styleId="680" w:customStyle="1">
    <w:name w:val="Заголовок 6 Знак"/>
    <w:link w:val="668"/>
    <w:uiPriority w:val="9"/>
    <w:rPr>
      <w:rFonts w:ascii="Arial" w:hAnsi="Arial" w:eastAsia="Arial" w:cs="Arial"/>
      <w:b/>
      <w:bCs/>
      <w:sz w:val="22"/>
      <w:szCs w:val="22"/>
    </w:rPr>
  </w:style>
  <w:style w:type="character" w:styleId="681" w:customStyle="1">
    <w:name w:val="Заголовок 7 Знак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2" w:customStyle="1">
    <w:name w:val="Заголовок 8 Знак"/>
    <w:link w:val="670"/>
    <w:uiPriority w:val="9"/>
    <w:rPr>
      <w:rFonts w:ascii="Arial" w:hAnsi="Arial" w:eastAsia="Arial" w:cs="Arial"/>
      <w:i/>
      <w:iCs/>
      <w:sz w:val="22"/>
      <w:szCs w:val="22"/>
    </w:rPr>
  </w:style>
  <w:style w:type="character" w:styleId="683" w:customStyle="1">
    <w:name w:val="Заголовок 9 Знак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List Paragraph"/>
    <w:basedOn w:val="662"/>
    <w:uiPriority w:val="34"/>
    <w:qFormat/>
    <w:pPr>
      <w:contextualSpacing/>
      <w:ind w:left="720"/>
    </w:pPr>
  </w:style>
  <w:style w:type="paragraph" w:styleId="685">
    <w:name w:val="No Spacing"/>
    <w:uiPriority w:val="1"/>
    <w:qFormat/>
  </w:style>
  <w:style w:type="paragraph" w:styleId="686">
    <w:name w:val="Title"/>
    <w:basedOn w:val="662"/>
    <w:next w:val="662"/>
    <w:link w:val="687"/>
    <w:uiPriority w:val="10"/>
    <w:qFormat/>
    <w:pPr>
      <w:contextualSpacing/>
      <w:spacing w:before="300"/>
    </w:pPr>
    <w:rPr>
      <w:sz w:val="48"/>
      <w:szCs w:val="48"/>
    </w:rPr>
  </w:style>
  <w:style w:type="character" w:styleId="687" w:customStyle="1">
    <w:name w:val="Название Знак"/>
    <w:link w:val="686"/>
    <w:uiPriority w:val="10"/>
    <w:rPr>
      <w:sz w:val="48"/>
      <w:szCs w:val="48"/>
    </w:rPr>
  </w:style>
  <w:style w:type="paragraph" w:styleId="688">
    <w:name w:val="Subtitle"/>
    <w:basedOn w:val="662"/>
    <w:next w:val="662"/>
    <w:link w:val="689"/>
    <w:uiPriority w:val="11"/>
    <w:qFormat/>
    <w:pPr>
      <w:spacing w:before="200"/>
    </w:pPr>
    <w:rPr>
      <w:sz w:val="24"/>
      <w:szCs w:val="24"/>
    </w:rPr>
  </w:style>
  <w:style w:type="character" w:styleId="689" w:customStyle="1">
    <w:name w:val="Подзаголовок Знак"/>
    <w:link w:val="688"/>
    <w:uiPriority w:val="11"/>
    <w:rPr>
      <w:sz w:val="24"/>
      <w:szCs w:val="24"/>
    </w:rPr>
  </w:style>
  <w:style w:type="paragraph" w:styleId="690">
    <w:name w:val="Quote"/>
    <w:basedOn w:val="662"/>
    <w:next w:val="662"/>
    <w:link w:val="691"/>
    <w:uiPriority w:val="29"/>
    <w:qFormat/>
    <w:pPr>
      <w:ind w:left="720" w:right="720"/>
    </w:pPr>
    <w:rPr>
      <w:i/>
    </w:rPr>
  </w:style>
  <w:style w:type="character" w:styleId="691" w:customStyle="1">
    <w:name w:val="Цитата 2 Знак"/>
    <w:link w:val="690"/>
    <w:uiPriority w:val="29"/>
    <w:rPr>
      <w:i/>
    </w:rPr>
  </w:style>
  <w:style w:type="paragraph" w:styleId="692">
    <w:name w:val="Intense Quote"/>
    <w:basedOn w:val="662"/>
    <w:next w:val="662"/>
    <w:link w:val="69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3" w:customStyle="1">
    <w:name w:val="Выделенная цитата Знак"/>
    <w:link w:val="692"/>
    <w:uiPriority w:val="30"/>
    <w:rPr>
      <w:i/>
    </w:rPr>
  </w:style>
  <w:style w:type="paragraph" w:styleId="694">
    <w:name w:val="Header"/>
    <w:basedOn w:val="662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 w:customStyle="1">
    <w:name w:val="Верхний колонтитул Знак"/>
    <w:link w:val="694"/>
    <w:uiPriority w:val="99"/>
  </w:style>
  <w:style w:type="paragraph" w:styleId="696">
    <w:name w:val="Footer"/>
    <w:basedOn w:val="662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 w:customStyle="1">
    <w:name w:val="Нижний колонтитул Знак"/>
    <w:link w:val="696"/>
    <w:uiPriority w:val="99"/>
  </w:style>
  <w:style w:type="paragraph" w:styleId="698">
    <w:name w:val="Caption"/>
    <w:basedOn w:val="662"/>
    <w:next w:val="662"/>
    <w:link w:val="69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99" w:customStyle="1">
    <w:name w:val="Название объекта Знак"/>
    <w:link w:val="698"/>
    <w:uiPriority w:val="35"/>
    <w:rPr>
      <w:b/>
      <w:bCs/>
      <w:color w:val="4f81bd" w:themeColor="accent1"/>
      <w:sz w:val="18"/>
      <w:szCs w:val="18"/>
    </w:rPr>
  </w:style>
  <w:style w:type="table" w:styleId="700">
    <w:name w:val="Table Grid"/>
    <w:basedOn w:val="673"/>
    <w:uiPriority w:val="5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01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0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1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2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33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34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35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8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0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1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2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3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44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45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6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7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8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9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5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7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8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9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0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9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9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9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8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6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7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8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9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0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1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2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4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5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6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7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8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9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0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1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2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23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24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25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paragraph" w:styleId="827">
    <w:name w:val="footnote text"/>
    <w:basedOn w:val="662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 w:customStyle="1">
    <w:name w:val="Текст сноски Знак"/>
    <w:link w:val="827"/>
    <w:uiPriority w:val="99"/>
    <w:rPr>
      <w:sz w:val="18"/>
    </w:rPr>
  </w:style>
  <w:style w:type="character" w:styleId="829">
    <w:name w:val="footnote reference"/>
    <w:uiPriority w:val="99"/>
    <w:unhideWhenUsed/>
    <w:rPr>
      <w:vertAlign w:val="superscript"/>
    </w:rPr>
  </w:style>
  <w:style w:type="paragraph" w:styleId="830">
    <w:name w:val="endnote text"/>
    <w:basedOn w:val="662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 w:customStyle="1">
    <w:name w:val="Текст концевой сноски Знак"/>
    <w:link w:val="830"/>
    <w:uiPriority w:val="99"/>
    <w:rPr>
      <w:sz w:val="20"/>
    </w:rPr>
  </w:style>
  <w:style w:type="character" w:styleId="832">
    <w:name w:val="endnote reference"/>
    <w:uiPriority w:val="99"/>
    <w:semiHidden/>
    <w:unhideWhenUsed/>
    <w:rPr>
      <w:vertAlign w:val="superscript"/>
    </w:rPr>
  </w:style>
  <w:style w:type="paragraph" w:styleId="833">
    <w:name w:val="toc 1"/>
    <w:basedOn w:val="662"/>
    <w:next w:val="662"/>
    <w:uiPriority w:val="39"/>
    <w:unhideWhenUsed/>
    <w:pPr>
      <w:spacing w:after="57"/>
    </w:pPr>
  </w:style>
  <w:style w:type="paragraph" w:styleId="834">
    <w:name w:val="toc 2"/>
    <w:basedOn w:val="662"/>
    <w:next w:val="662"/>
    <w:uiPriority w:val="39"/>
    <w:unhideWhenUsed/>
    <w:pPr>
      <w:ind w:left="283"/>
      <w:spacing w:after="57"/>
    </w:pPr>
  </w:style>
  <w:style w:type="paragraph" w:styleId="835">
    <w:name w:val="toc 3"/>
    <w:basedOn w:val="662"/>
    <w:next w:val="662"/>
    <w:uiPriority w:val="39"/>
    <w:unhideWhenUsed/>
    <w:pPr>
      <w:ind w:left="567"/>
      <w:spacing w:after="57"/>
    </w:pPr>
  </w:style>
  <w:style w:type="paragraph" w:styleId="836">
    <w:name w:val="toc 4"/>
    <w:basedOn w:val="662"/>
    <w:next w:val="662"/>
    <w:uiPriority w:val="39"/>
    <w:unhideWhenUsed/>
    <w:pPr>
      <w:ind w:left="850"/>
      <w:spacing w:after="57"/>
    </w:pPr>
  </w:style>
  <w:style w:type="paragraph" w:styleId="837">
    <w:name w:val="toc 5"/>
    <w:basedOn w:val="662"/>
    <w:next w:val="662"/>
    <w:uiPriority w:val="39"/>
    <w:unhideWhenUsed/>
    <w:pPr>
      <w:ind w:left="1134"/>
      <w:spacing w:after="57"/>
    </w:pPr>
  </w:style>
  <w:style w:type="paragraph" w:styleId="838">
    <w:name w:val="toc 6"/>
    <w:basedOn w:val="662"/>
    <w:next w:val="662"/>
    <w:uiPriority w:val="39"/>
    <w:unhideWhenUsed/>
    <w:pPr>
      <w:ind w:left="1417"/>
      <w:spacing w:after="57"/>
    </w:pPr>
  </w:style>
  <w:style w:type="paragraph" w:styleId="839">
    <w:name w:val="toc 7"/>
    <w:basedOn w:val="662"/>
    <w:next w:val="662"/>
    <w:uiPriority w:val="39"/>
    <w:unhideWhenUsed/>
    <w:pPr>
      <w:ind w:left="1701"/>
      <w:spacing w:after="57"/>
    </w:pPr>
  </w:style>
  <w:style w:type="paragraph" w:styleId="840">
    <w:name w:val="toc 8"/>
    <w:basedOn w:val="662"/>
    <w:next w:val="662"/>
    <w:uiPriority w:val="39"/>
    <w:unhideWhenUsed/>
    <w:pPr>
      <w:ind w:left="1984"/>
      <w:spacing w:after="57"/>
    </w:pPr>
  </w:style>
  <w:style w:type="paragraph" w:styleId="841">
    <w:name w:val="toc 9"/>
    <w:basedOn w:val="662"/>
    <w:next w:val="662"/>
    <w:uiPriority w:val="39"/>
    <w:unhideWhenUsed/>
    <w:pPr>
      <w:ind w:left="2268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662"/>
    <w:next w:val="662"/>
    <w:uiPriority w:val="99"/>
    <w:unhideWhenUsed/>
    <w:pPr>
      <w:spacing w:after="0"/>
    </w:pPr>
  </w:style>
  <w:style w:type="character" w:styleId="844" w:customStyle="1">
    <w:name w:val="apple-converted-space"/>
    <w:basedOn w:val="672"/>
  </w:style>
  <w:style w:type="paragraph" w:styleId="845">
    <w:name w:val="Balloon Text"/>
    <w:basedOn w:val="662"/>
    <w:link w:val="846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styleId="846" w:customStyle="1">
    <w:name w:val="Текст выноски Знак"/>
    <w:link w:val="845"/>
    <w:uiPriority w:val="99"/>
    <w:semiHidden/>
    <w:rPr>
      <w:rFonts w:ascii="Tahoma" w:hAnsi="Tahoma" w:cs="Tahoma"/>
      <w:sz w:val="16"/>
      <w:szCs w:val="16"/>
    </w:rPr>
  </w:style>
  <w:style w:type="character" w:styleId="847">
    <w:name w:val="Emphasis"/>
    <w:uiPriority w:val="20"/>
    <w:qFormat/>
    <w:rPr>
      <w:i/>
      <w:iCs/>
    </w:rPr>
  </w:style>
  <w:style w:type="character" w:styleId="848" w:customStyle="1">
    <w:name w:val="Другое_"/>
    <w:link w:val="849"/>
    <w:uiPriority w:val="99"/>
    <w:rPr>
      <w:rFonts w:ascii="Times New Roman" w:hAnsi="Times New Roman"/>
      <w:color w:val="242424"/>
    </w:rPr>
  </w:style>
  <w:style w:type="paragraph" w:styleId="849" w:customStyle="1">
    <w:name w:val="Другое"/>
    <w:basedOn w:val="662"/>
    <w:link w:val="848"/>
    <w:uiPriority w:val="99"/>
    <w:pPr>
      <w:ind w:firstLine="70"/>
      <w:spacing w:after="0" w:line="240" w:lineRule="auto"/>
    </w:pPr>
    <w:rPr>
      <w:rFonts w:ascii="Times New Roman" w:hAnsi="Times New Roman"/>
      <w:color w:val="242424"/>
      <w:sz w:val="20"/>
      <w:szCs w:val="20"/>
      <w:lang w:eastAsia="ru-RU"/>
    </w:rPr>
  </w:style>
  <w:style w:type="paragraph" w:styleId="850" w:customStyle="1">
    <w:name w:val="таблица"/>
    <w:basedOn w:val="662"/>
    <w:qFormat/>
    <w:pPr>
      <w:spacing w:after="0" w:line="240" w:lineRule="auto"/>
    </w:pPr>
    <w:rPr>
      <w:rFonts w:ascii="Times New Roman" w:hAnsi="Times New Roman" w:eastAsia="Times New Roman"/>
      <w:sz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jpg"/><Relationship Id="rId11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Евгеньевна Ефимова</dc:creator>
  <cp:lastModifiedBy>oiu_dmitrieva</cp:lastModifiedBy>
  <cp:revision>5</cp:revision>
  <dcterms:created xsi:type="dcterms:W3CDTF">2026-07-27T11:55:00Z</dcterms:created>
  <dcterms:modified xsi:type="dcterms:W3CDTF">2026-07-28T15:40:42Z</dcterms:modified>
  <cp:version>983040</cp:version>
</cp:coreProperties>
</file>