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color w:val="000000" w:themeColor="text1"/>
          <w:sz w:val="28"/>
          <w:szCs w:val="28"/>
          <w:highlight w:val="yellow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2761615</wp:posOffset>
                </wp:positionH>
                <wp:positionV relativeFrom="paragraph">
                  <wp:posOffset>-153035</wp:posOffset>
                </wp:positionV>
                <wp:extent cx="662940" cy="762000"/>
                <wp:effectExtent l="0" t="0" r="3810" b="0"/>
                <wp:wrapTight wrapText="bothSides">
                  <wp:wrapPolygon edited="1">
                    <wp:start x="0" y="0"/>
                    <wp:lineTo x="0" y="21060"/>
                    <wp:lineTo x="21103" y="21060"/>
                    <wp:lineTo x="21103" y="0"/>
                    <wp:lineTo x="0" y="0"/>
                  </wp:wrapPolygon>
                </wp:wrapTight>
                <wp:docPr id="1" name="Рисунок 1" descr="Описание: Описание: гер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4566811" name="Рисунок 1" descr="Описание: Описание: герб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62940" cy="7619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9264;o:allowoverlap:true;o:allowincell:true;mso-position-horizontal-relative:margin;margin-left:217.45pt;mso-position-horizontal:absolute;mso-position-vertical-relative:text;margin-top:-12.05pt;mso-position-vertical:absolute;width:52.20pt;height:60.00pt;mso-wrap-distance-left:9.00pt;mso-wrap-distance-top:0.00pt;mso-wrap-distance-right:9.00pt;mso-wrap-distance-bottom:0.00pt;" wrapcoords="0 0 0 97500 97699 97500 97699 0 0 0" stroked="false">
                <v:path textboxrect="0,0,0,0"/>
                <w10:wrap type="tight"/>
                <v:imagedata r:id="rId8" o:title=""/>
              </v:shape>
            </w:pict>
          </mc:Fallback>
        </mc:AlternateContent>
      </w: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</w:p>
    <w:p>
      <w:pPr>
        <w:jc w:val="center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КОМИТЕТ ГОСУДАРСТВЕННОГО ЗАКАЗА</w:t>
      </w:r>
      <w:r>
        <w:rPr>
          <w:rFonts w:ascii="Times New Roman" w:hAnsi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/>
          <w:b/>
          <w:color w:val="000000" w:themeColor="text1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  <w:pBdr>
          <w:bottom w:val="single" w:color="000000" w:sz="4" w:space="0"/>
        </w:pBdr>
        <w:outlineLvl w:val="0"/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ЛЕНИНГРАДСКОЙ ОБЛАСТИ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/>
          <w:b/>
          <w:color w:val="000000" w:themeColor="text1"/>
          <w:sz w:val="28"/>
          <w:szCs w:val="28"/>
        </w:rPr>
      </w:r>
    </w:p>
    <w:p>
      <w:pPr>
        <w:jc w:val="center"/>
        <w:spacing w:before="120" w:after="0" w:line="240" w:lineRule="auto"/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  <w:t xml:space="preserve">Приказ № _____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  <w:t xml:space="preserve">от __ ________ 2025 года 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</w:r>
    </w:p>
    <w:tbl>
      <w:tblPr>
        <w:tblW w:w="9505" w:type="dxa"/>
        <w:jc w:val="center"/>
        <w:tblLook w:val="04A0" w:firstRow="1" w:lastRow="0" w:firstColumn="1" w:lastColumn="0" w:noHBand="0" w:noVBand="1"/>
      </w:tblPr>
      <w:tblGrid>
        <w:gridCol w:w="4859"/>
        <w:gridCol w:w="4646"/>
      </w:tblGrid>
      <w:tr>
        <w:tblPrEx/>
        <w:trPr>
          <w:jc w:val="center"/>
        </w:trPr>
        <w:tc>
          <w:tcPr>
            <w:tcW w:w="4859" w:type="dxa"/>
            <w:textDirection w:val="lrTb"/>
            <w:noWrap w:val="false"/>
          </w:tcPr>
          <w:p>
            <w:pPr>
              <w:pStyle w:val="834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 внесении изменений в приказ Комитета государственного заказа Ленинградской области от 28.04.2022 №7-п»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34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646" w:type="dxa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gridAfter w:val="1"/>
          <w:jc w:val="center"/>
        </w:trPr>
        <w:tc>
          <w:tcPr>
            <w:tcW w:w="4859" w:type="dxa"/>
            <w:textDirection w:val="lrTb"/>
            <w:noWrap w:val="false"/>
          </w:tcPr>
          <w:p>
            <w:pPr>
              <w:pStyle w:val="834"/>
              <w:spacing w:line="276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целях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приведения нормативных правовых актов Комитета государственного заказа Ленинградской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соответствие с действующим законодательством, приказываю: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color w:val="000000" w:themeColor="text1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1. 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Из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ложить пункт 1 приказа К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омитета государственного заказа Ленинградской области от 28.04.2022 № 7-п «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Об утверждении порядка определения объема и условий предоставления из областного бюджета Ленинградской области субсидий Государственному бюджетному учреждению Ленинградской области «Фонд имущества Ленинградской области», подведомственному Комитету государс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твенного заказа Ленинградской области, на иные цели и о признании утратившим силу приказа Комитета государственного заказа Ленинградской области от 5 марта 2021 года № 9-п»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в следующей редакции: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1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. Утвердить прилагаемый Порядок определения объема и условий предоставления из областного бюджета Ленинградской области субсидий Государственному бюджетному учреждению Ленинградской области «Фонд имущества Ленинградской области», подведомственному Комитету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 государственного заказа Ленинградской области,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на иные цели.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».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2. 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Изложить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Приложение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к приказу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К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омитета государственного заказа Ленинградской области от 28.04.2022 № 7-п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Об утверждении порядка определения объема и условий предоставления из областного бюджета Ленинградской области субсидий Государственному бюджетному учреждению Ленинградской области «Фонд имущества Ленинградской области», подведомственному Комитету государс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твенного заказа Ленинградской области, на иные цели и о признании утратившим силу приказа Комитета государственного заказа Ленинградской области от 5 марта 2021 года № 9-п»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 в редакции, согласно Приложению к настоящему приказу.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3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. 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Контроль за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 исполнением настоящего приказа оставляю за собой.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</w:r>
    </w:p>
    <w:p>
      <w:pPr>
        <w:pStyle w:val="83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Комитета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Т.А. Гладышева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67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highlight w:val="none"/>
        </w:rPr>
        <w:br w:type="page" w:clear="all"/>
      </w:r>
      <w:r>
        <w:rPr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Приложение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Комитета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государственного заказа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 _______ 2026 года № 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ПОРЯДОК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ОПРЕДЕЛЕНИЯ ОБЪЕМА И УСЛОВИЙ ПРЕДОСТАВЛЕНИЯ ИЗ ОБЛАСТНОГО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БЮДЖЕТА ЛЕНИНГРАДСКОЙ ОБЛАСТИ СУБСИДИЙ ГОСУДАРСТВЕННОМУ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БЮДЖЕТНОМУ УЧРЕЖДЕНИЮ ЛЕНИНГРАДСКОЙ ОБЛАСТИ «ФОНД ИМУЩЕСТВА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ЛЕНИНГРАДСКОЙ ОБЛАСТИ», ПОДВЕДОМСТВЕННОМУ КОМИТЕТУ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ГОСУДАРСТВЕННОГО ЗАКАЗА ЛЕНИНГРАДСКОЙ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ИНЫЕ ЦЕЛИ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I. Общие положения о предоставлении субсидий на иные цели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1. </w:t>
      </w:r>
      <w:r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>
        <w:rPr>
          <w:rFonts w:ascii="Times New Roman" w:hAnsi="Times New Roman" w:cs="Times New Roman"/>
          <w:sz w:val="28"/>
          <w:szCs w:val="28"/>
        </w:rPr>
        <w:t xml:space="preserve">устанавливает правила определения объема и условий предоставления из областного бюджета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(далее - областной бюджет) </w:t>
      </w:r>
      <w:r>
        <w:rPr>
          <w:rFonts w:ascii="Times New Roman" w:hAnsi="Times New Roman" w:cs="Times New Roman"/>
          <w:sz w:val="28"/>
          <w:szCs w:val="28"/>
        </w:rPr>
        <w:t xml:space="preserve">субс</w:t>
      </w:r>
      <w:r>
        <w:rPr>
          <w:rFonts w:ascii="Times New Roman" w:hAnsi="Times New Roman" w:cs="Times New Roman"/>
          <w:sz w:val="28"/>
          <w:szCs w:val="28"/>
        </w:rPr>
        <w:t xml:space="preserve">идий Государственному бюджетному учреждению Ленинградской области «Фонд и</w:t>
      </w:r>
      <w:r>
        <w:rPr>
          <w:rFonts w:ascii="Times New Roman" w:hAnsi="Times New Roman" w:cs="Times New Roman"/>
          <w:sz w:val="28"/>
          <w:szCs w:val="28"/>
        </w:rPr>
        <w:t xml:space="preserve">мущества Ленинградской области», подведомственному Комитету государственного заказа Ленинградской области (далее - Комитет, Учреждение) субсидий на иные цели (далее - </w:t>
      </w:r>
      <w:r>
        <w:rPr>
          <w:rFonts w:ascii="Times New Roman" w:hAnsi="Times New Roman" w:cs="Times New Roman"/>
          <w:sz w:val="28"/>
          <w:szCs w:val="28"/>
        </w:rPr>
        <w:t xml:space="preserve">субсидии на иные цели).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1.2. Субсидии на иные цели предоставляются Учреждению в целях реализации следующих мероприятий, не относящихся к финансовому обеспечению выполнения государственного задания: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1.2.1. Приобретение основных средств (за исключением недвижимого имущества).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субсидий является количество приобретенных основных средств;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1.2.2. Оплата расходов на реализацию мероприятий в области информационных технологий в части разработки и внедрения информационных систем.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субсидий является количество проведенных мероприятий;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1.2.3. Оплата расходов на реализацию мероприятий, проводимых в рамках государственной программы «Цифровое развитие Ленинградской области», не связанных с оказанием государственных услуг (выполнением работ).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субсидий является количество проведенных мероприятий;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1.2.4. Оплата расходов для осуществления государственного кадастрового учета и государственной регистрации прав на объекты недвижимости.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субсидий являются: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количество объектов недвижимости, поставленных на государственный кадастровый учет;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количество объектов недвижимости, на которые зарегистрировано право собственности, иные вещные права;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1.2.5. Оплата расходов на получение лицензии, связанной с определенным видом деятельности.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субсидий является количество полученных лицензий;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1.2.6. Оплата расходов по разработке сметной документации на проведение текущего ремонта объектов недвижимости, используемых Учреждением для обеспечения целей деятельности, и проведение экспертизы такой документации.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субсидий являются: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количество подготовленной сметной документации на проведение текущего ремонта объектов недвижимости, используемых Учреждением для обеспечения целей деятельности;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количество полученных положительных заключений сметной документации на проведение текущего ремонта объектов недвижимости, используемых Учреждением для обеспечения целей деятельности;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1.2.7. Оплата расходов на проведение работ по текущему ремонту объектов недвижимости, используемых Учреждением для обеспечения целей деятельности.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субсидий является количество объектов недвижимости, используемых Учреждением для обеспечения целей деятельности, в которых выполнен текущий ремонт;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1.2.8. Оплата расходов на выполнение строительного контроля за текущим ремонтом объектов недвижимости, используемых Учреждением для обеспечения целей деятельности.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субсидий является количество объектов недвижимости, используемых Учреждением для обеспечения целей деятельности, в отношении которых выполнялся строительный контроль за текущим ремонтом;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1.2.9. Оплата расходов по содержанию имущества, не связанных с оказанием государственных услуг (выполнением работ).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субсидий является выполнение финансовых обязательств в целях содержания имущества, не связанного с оказанием государственных услуг (выполнением работ);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1.2.10. Оплата расходов на реализацию мероприятий, связанных с профилактикой и(или) устранением последствий распространения новой коронавирусной инфекции COVID-19 в учреждениях.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субсидий является количество проведенных в учреждениях мероприятий, связанных с профилактикой и(или) устранением последствий распространения новой коронавирусной инфекции COVID-19;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1.2.11. Оплата расходов, осуществляемых в рамках ликвидационных (реорганизационных) мероприятий учреждений, при создании новых учреждений, а также при сокращении численности работников.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субсидий является объем финансовых обязательств, исполненных в целях осуществления ликвидационных (реорганизационных) мероприятий учреждений, при создании новых учреждений, а также при сокращении численности работников;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1.2.12. Оплата расходов на предупреждение аварийной (чрезвычайной) ситуации, ликвидация последствий и осуществление восстановительных работ в случае наступления аварийной (чрезвычайной) ситуации.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Результатами предоставления субсидий являются: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количество проведенных восстановительных работ в случае наступления аварийной (чрезвычайной) ситуации;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количество предупрежденных аварийных (чрезвычайных) ситуаций;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.2.13. Оплата расходов на реализацию мероприятий за счет средств, выделенных из резервного фонда Правительства Ленинградской области, резервного фонда Правительства Ленинградской области по ликвидации чрезвычайных ситуаций природного и техногенного характе</w:t>
      </w:r>
      <w:r>
        <w:rPr>
          <w:rFonts w:ascii="Times New Roman" w:hAnsi="Times New Roman" w:cs="Times New Roman"/>
          <w:sz w:val="28"/>
          <w:szCs w:val="28"/>
        </w:rPr>
        <w:t xml:space="preserve">ра и последствий стихийных бедствий, а также последствий террористических актов, резервного фонда Правительства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езультатом предоставления субсидий является количество реализованных мероприятий за счет средств, выделенных из резервного фонда Правительства Ленинградской области, резервного фонда Правительства Ленинградской области по ликвидации чрезвычайных ситуаций п</w:t>
      </w:r>
      <w:r>
        <w:rPr>
          <w:rFonts w:ascii="Times New Roman" w:hAnsi="Times New Roman" w:cs="Times New Roman"/>
          <w:sz w:val="28"/>
          <w:szCs w:val="28"/>
        </w:rPr>
        <w:t xml:space="preserve">риродного и техногенного характера и последствий стихийных бедствий, а также последствий террористических актов, резервного фонда Правительства Российской Федерации;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1.2.14. 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плата расходов на уплату налогов,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качестве объекта налогообложения по которым признается имущество Учреждения, в том числе земельные участки (налог на имущество организаций, земельный налог).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Результатом предоставления субсидий является количество объектов налогообложения, по которым оплачены налоги.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Ус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тановить, что действие настоящего подпункта вступает в силу с 01.01.2027, за исключением правоотношений в 2026 году, возникающих при составлении проекта Областного закона «Об областном бюджете Ленинградской области на 2027 год и на плановый период 2028 и 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029 годов».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1.3. </w:t>
      </w:r>
      <w:r>
        <w:rPr>
          <w:rFonts w:ascii="Times New Roman" w:hAnsi="Times New Roman" w:cs="Times New Roman"/>
          <w:sz w:val="28"/>
          <w:szCs w:val="28"/>
        </w:rPr>
        <w:t xml:space="preserve">Субсидии на иные цели для реализации мероприятий, указанных в пункте 2 настоящего Порядка,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Учреждению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сводной бюджетной росписью областного бюджета Ленинградской области в пределах бюджетных ассигнований и лимитов бюджетных обязательств, доведенных Комитету как получателю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на текущий финансовый год и на п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лановый период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II. Условия и порядок предоставления субсидий на иные цели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2. 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субсидий на иные цели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при условии соответствия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первое число месяца, предшествующего месяцу, в котором планируется заключение Соглашения, одновременно следующим требованиям: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</w:t>
      </w:r>
      <w:r>
        <w:rPr>
          <w:rFonts w:ascii="Times New Roman" w:hAnsi="Times New Roman" w:cs="Times New Roman"/>
          <w:sz w:val="28"/>
          <w:szCs w:val="28"/>
        </w:rPr>
        <w:t xml:space="preserve">орах;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отсутствие у Учреждения </w:t>
      </w:r>
      <w:r>
        <w:rPr>
          <w:rFonts w:ascii="Times New Roman" w:hAnsi="Times New Roman" w:cs="Times New Roman"/>
          <w:sz w:val="28"/>
          <w:szCs w:val="28"/>
        </w:rPr>
        <w:t xml:space="preserve">просроченной задолженности по возврату в областной бюджет Ленинградской области субсидий, бюджетных инвестиций, предоставленных, в том числе, в соответствии с иными правовыми актами, и иной просроченной задолженности перед областным бюджет</w:t>
      </w:r>
      <w:r>
        <w:rPr>
          <w:rFonts w:ascii="Times New Roman" w:hAnsi="Times New Roman" w:cs="Times New Roman"/>
          <w:sz w:val="28"/>
          <w:szCs w:val="28"/>
        </w:rPr>
        <w:t xml:space="preserve">ом Ленинградской области;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- отсутствие у Учреждения просроченной задолженности по заработной плате.</w:t>
      </w:r>
      <w:r>
        <w:rPr>
          <w:highlight w:val="none"/>
        </w:rPr>
      </w:r>
      <w:r>
        <w:rPr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2.1. </w:t>
      </w:r>
      <w:r>
        <w:rPr>
          <w:rFonts w:ascii="Times New Roman" w:hAnsi="Times New Roman" w:cs="Times New Roman"/>
          <w:sz w:val="28"/>
          <w:szCs w:val="28"/>
        </w:rPr>
        <w:t xml:space="preserve">Требования, указанные пункте 2 настоящего Порядка, не применяются в случае предоставления субсидий на иные цели для реализации мероприятий по реорганизации или ликвидации Учреждения, предотвращение аварийной (чрезвычайной) ситуации, ликвидацию послед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твий и осуществление восстановительных работ в случае наступления аварийной (чрезвычайной) ситуации, а также в иных случаях, установленных федеральными законами, нормативными правовыми актами Правительства Российской Федерации, Правительства Ленинградской </w:t>
      </w:r>
      <w:r>
        <w:rPr>
          <w:rFonts w:ascii="Times New Roman" w:hAnsi="Times New Roman" w:cs="Times New Roman"/>
          <w:sz w:val="28"/>
          <w:szCs w:val="28"/>
        </w:rPr>
        <w:t xml:space="preserve">области.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2.3. Для получения субсидии на иные цели Учреждение направляет в Комитет </w:t>
      </w:r>
      <w:r>
        <w:rPr>
          <w:rFonts w:ascii="Times New Roman" w:hAnsi="Times New Roman" w:cs="Times New Roman"/>
          <w:sz w:val="28"/>
          <w:szCs w:val="28"/>
        </w:rPr>
        <w:t xml:space="preserve">заявку на предоставление субсидии на иные цели (далее - заявка) по форме согласно приложению № 1 к настоящему Порядку и следующие документы: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отсутствии у Учреждения просроченной задолженности по заработной плате;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нформация об отсутствии просроченной задолженности по возврату в областной бюджет Ленинградской области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</w:t>
      </w:r>
      <w:r>
        <w:rPr>
          <w:rFonts w:ascii="Times New Roman" w:hAnsi="Times New Roman" w:cs="Times New Roman"/>
          <w:sz w:val="28"/>
          <w:szCs w:val="28"/>
        </w:rPr>
        <w:t xml:space="preserve">юджетом Ленинградской области;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записка, содержащая обоснование необходимости предоставления бюджетных средств на цели, установленные пунктом 1.2 настоящего Порядка;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</w:t>
      </w:r>
      <w:r>
        <w:rPr>
          <w:rFonts w:ascii="Times New Roman" w:hAnsi="Times New Roman" w:cs="Times New Roman"/>
          <w:sz w:val="28"/>
          <w:szCs w:val="28"/>
        </w:rPr>
        <w:t xml:space="preserve">сполнителей) и(или) иная информация.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к документам, указанным в абзацах 2 - 5 настоящего пункта, Учреждение представляет вместе с заявкой следующие документы: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программу мероприятий, в случае если субсидия предоставляется с целью, указанной в подпунктах 1.2.2, 1.2.3 пункта 1.2 настоящего Порядка;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еречень объектов, подлежащих ремонту, с приложением актов обследования таких объектов и дефектную ведомость, предварительную смету расходов, в случае если субсидия предоставляется с целью, указанной в подпунктах 1.2.6, 1.2.7 пункта 1.2 настоящего Порядка;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опия сметной документации на проведение текущего ремонта объектов недвижимости, используемых Учреждением для обеспечения целей деятельности, и положительное заключений сметной документации на проведение текущего ремонта объектов недвижимости, используемых </w:t>
      </w:r>
      <w:r>
        <w:rPr>
          <w:rFonts w:ascii="Times New Roman" w:hAnsi="Times New Roman" w:cs="Times New Roman"/>
          <w:sz w:val="28"/>
          <w:szCs w:val="28"/>
        </w:rPr>
        <w:t xml:space="preserve">Учреждением для обеспечения целей деятельности, в случае если субсидия предоставляется с целью, указанной в подпункте 1.2.7 пункта 1.2 настоящего Порядка;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штатное расписание и(или) план ликвидационных мероприятий, в случае если целью предоставления субсидии является оплата расходов, указанных в подпункте 1.2.11 пункта 1.2 настоящего Порядка.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Представленный в составе заявки комплект документов Учреждению не возвращается. Ответственность за достоверность представленных документов возлагается на Учреждение.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2.4. Комитет в течение 15 (пятнадцати) рабочих дней на основании представленных Учреждением документов, указанных в пункте 2.3 настоящего Порядка, принимает решение о предоставлении субсидии либо об отказе в предоставлении субсидии.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2.5. Основания для отказа Учреждению в предоставлении субсидий: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Учреждением документов требованиям, определенным в пункте 2.3 настоящего Порядка, или непредставление (представление не в полном объеме) указанных документов;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недостоверность информации, содержащейся в документах, представленных Учреждением;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отсутствие бюджетных ассигнований и лимитов бюджетных обязательств.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2.6. Размер субсидии на иные цели определяется исходя из потребности в этих расходах, определенной на основании заявок Учреждения, и в пределах средств, предусмотренных областным законом об областном бюджете Ленинградской области.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.7. В случае принятия решения о предоставлении субсидии Комитет в течение 10 (десяти) рабочих дней заключает с Учреждением соглашение о предоставлении из бюджета Ленинградской области субсидий на иные цели (далее - Соглашение). В случае принятия решения об</w:t>
      </w:r>
      <w:r>
        <w:rPr>
          <w:rFonts w:ascii="Times New Roman" w:hAnsi="Times New Roman" w:cs="Times New Roman"/>
          <w:sz w:val="28"/>
          <w:szCs w:val="28"/>
        </w:rPr>
        <w:t xml:space="preserve"> отказе в предоставлении субсидии Комитет в течение 10 рабочих дней со дня принятия решения письменно уведомляет Учреждение о принятом решении с указанием основания для отказа.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2.8. </w:t>
      </w:r>
      <w:r>
        <w:rPr>
          <w:rFonts w:ascii="Times New Roman" w:hAnsi="Times New Roman" w:cs="Times New Roman"/>
          <w:sz w:val="28"/>
          <w:szCs w:val="28"/>
        </w:rPr>
        <w:t xml:space="preserve">Соглашение, а также дополнительные соглашения к указанному соглашению, заключаются между Комитетом и Учреждением в соответствии с типовой формой, утвержденной распоряжением Комитета финансов Ленинградской области от 30 декабря 2020 года № 18-02/05-37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типовой формы соглашения о предоставлении из областного бюджета Ленинградской области субсидий государственным бюджетным и государственным автономным учреждениям Ленинградской области на иные цели» (далее - типовая форма).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2.9. Соглашение должно содержать следующие обязательные положения: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цели предоставления субсидии;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значения результатов предоставления субсидии, которые должны быть конкретными и измеримыми;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план мероприятий по достижению результатов предоставления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размер субсидии;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сроки (график) перечисления субсидии;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сроки представления отчетности;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возврата сумм субсидии в случае несоблюдения Учреждением целей, условий и порядка предоставления субсидий, определенных Соглашением;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основания и порядок внесения изменений в Соглашение, в том числе в случае уменьшения Комитету ранее доведенных лимитов бюджетных обязательств на предоставление субсидии;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досрочного прекращения Соглашения по решению Комитета в одностороннем порядке, в том числе в связи с реорганизацией (за исключением реорганизации в форме присоединения) или ликвидацией Учреждения, нарушением Учреждением целей и условий предо</w:t>
      </w:r>
      <w:r>
        <w:rPr>
          <w:rFonts w:ascii="Times New Roman" w:hAnsi="Times New Roman" w:cs="Times New Roman"/>
          <w:sz w:val="28"/>
          <w:szCs w:val="28"/>
        </w:rPr>
        <w:t xml:space="preserve">ставления субсидии, установленных настоящим Порядком и(или) Соглашением;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запрет на расторжение Соглашения Учреждением в одностороннем порядке.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2.10. </w:t>
      </w:r>
      <w:r>
        <w:rPr>
          <w:rFonts w:ascii="Times New Roman" w:hAnsi="Times New Roman" w:cs="Times New Roman"/>
          <w:sz w:val="28"/>
          <w:szCs w:val="28"/>
        </w:rPr>
        <w:t xml:space="preserve">Перечислен</w:t>
      </w:r>
      <w:r>
        <w:rPr>
          <w:rFonts w:ascii="Times New Roman" w:hAnsi="Times New Roman" w:cs="Times New Roman"/>
          <w:sz w:val="28"/>
          <w:szCs w:val="28"/>
        </w:rPr>
        <w:t xml:space="preserve">ие субсидии на иные цели осуществляется на лицевой счет Учреждения, открытый в соответствии с действующим законодательством Российской Федерации и законодательством Ленинградской области, для учета операций со средствами, поступающими учреждению, в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ствии с графиком перечисления субсидии на иные цели, устанавливаемым в Соглашении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являющимся его неотъемлемой частью.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III. Требования к отчетности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3. Учреждение ежеквартально в срок до 10 числа месяца, следующего за отчетным, представляет в Комитет на бумажном носителе отчет о расходах, источником финансового обеспечения которых является Субсидия, с приложением пояснительной записки и документов, под</w:t>
      </w:r>
      <w:r>
        <w:rPr>
          <w:rFonts w:ascii="Times New Roman" w:hAnsi="Times New Roman" w:cs="Times New Roman"/>
          <w:sz w:val="28"/>
          <w:szCs w:val="28"/>
        </w:rPr>
        <w:t xml:space="preserve">тверждающих выплаты. Форма отчета устанавливается в Соглашении.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Иные отчеты, если Комитетом принято решение об их представлении.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IV. Порядок осуществления контроля за соблюдением целей,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условий и порядка предоставления субсидий и ответственность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за их несоблюдение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4.1. Не испол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ьзованные в текущем финансовом году остатки средств субсидии на иные цели на достижение целей, установленных в Соглашении, могут использоваться Учреждением в очередном финансовом году при наличии потребности в направлении их на те же цели в соответствии с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решением Комитета. Решение оформляется распоряжением Комитета.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4.2. Учреждение в срок до 18 января финансового года представляет в Комитет информацию о наличии неисполненных обязательств, источником финансового обеспечения которых являются не использованные на 1 января текущего финансового года остатки суб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сидий на иные цели, а также копии документов, подтверждающих наличие неисполненных принятых обязательств и(или) обязательств, подлежащих принятию в очередном финансовом году.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4.3. Решение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 наличии потребности в направлении остатков субсидий на иные цели, не использованных Учреждением в текущем финансовом году, на те же цели в очередном финансовом году Комитетом принимается не позднее 1 февраля года, следующего за годом предоставления субси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дии на иные цели в течение 10 рабочих дней после получения от учреждения документов, перечисленных в пункте 4.2 настоящего Порядка.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4.4. Остатки с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убсидий на иные цели, не использованные на 1 января очередного финансового года, в отношении которых не принято решение о наличии потребности в направлении их на те же цели в текущем финансовом году, подлежат возврату в доход бюджета Ленинградской области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срок не позднее 1 марта года, следующего за годом предоставления субсидии на иные цели.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4.5. Комитет и уполномоченный орган государственного финансового контроля Ленинградской области проводят обязательную проверку соблюдения целей и условий предоставления Учреждению субсидии на иные цели.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4.6. В случае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несоблюдения Учреждением целей и условий, установленных при предоставлении субсидии на иные цели, выявленного по результатам проверок, проведенных Учредителем и уполномоченным органом государственного финансового контроля Ленинградской области, средства су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бсидии на иные цели подлежат возврату в областной бюджет Ленинградской области: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 основании требования Учредителя - в течение десяти рабочих дней со дня получения требования о возврате субсидии на иные цели в объеме средств, использованных с допущением нарушений;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 основании представления и(или) предписания уполномоченного органа государственного финансового контроля Ленинградской - в сроки, установленные предписанием и(или) представлением.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4.7. В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случае недостижения значений результатов предоставления субсидии на иные цели, установленных в Соглашении, средства субсидии на иные цели подлежат возврату в областной бюджет Ленинградской области в размере неиспользованного объема финансового обеспечения.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4.8. Контроль за соблюдением целей и условий, установленных при предоставлении субсидии на иные цели, осуществляется Комитетом и иными уполномоченными государственными органами в соответствии с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4.9. Руководитель Учреждения несет ответственность за осуществление расходов на цели, указанные при выделении субсидии, в соответствии с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4.10. Мониторинг достижен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ия значений результатов предоставления субсидии на иные цели и событий, отражающих факт завершения соответствующего мероприятия по получению результата предоставления субсидии на иные цели (контрольная точка), осуществляется Комитетом в порядке, установлен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ном Министерством финансов Российской Федерации.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hd w:val="nil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br w:type="page" w:clear="all"/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7795" w:right="0" w:firstLine="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outlineLvl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Приложение № 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7795" w:right="0" w:firstLine="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 Порядку...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7795" w:right="0" w:firstLine="0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(Форма)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1_1870"/>
        <w:ind w:firstLine="0"/>
        <w:jc w:val="both"/>
      </w:pPr>
      <w:r>
        <w:rPr>
          <w:sz w:val="24"/>
        </w:rPr>
        <w:t xml:space="preserve">Бланк организации - получателя субсидии</w:t>
      </w:r>
      <w:r/>
      <w:r/>
    </w:p>
    <w:p>
      <w:pPr>
        <w:pStyle w:val="1_1870"/>
      </w:pPr>
      <w:r>
        <w:rPr>
          <w:sz w:val="24"/>
        </w:rPr>
      </w:r>
      <w:r/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44"/>
        <w:gridCol w:w="4799"/>
        <w:gridCol w:w="3148"/>
        <w:gridCol w:w="480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43" w:type="dxa"/>
            <w:textDirection w:val="lrTb"/>
            <w:noWrap w:val="false"/>
          </w:tcPr>
          <w:p>
            <w:pPr>
              <w:pStyle w:val="1_1870"/>
            </w:pPr>
            <w:r>
              <w:rPr>
                <w:sz w:val="24"/>
              </w:rPr>
            </w: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1_1870"/>
            </w:pPr>
            <w:r>
              <w:rPr>
                <w:sz w:val="24"/>
              </w:rPr>
              <w:t xml:space="preserve">в Комитет государственного заказа Ленинградской области</w:t>
            </w:r>
            <w:r/>
            <w:r/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1_1870"/>
            </w:pPr>
            <w:r>
              <w:rPr>
                <w:sz w:val="24"/>
              </w:rPr>
            </w:r>
            <w:r/>
            <w:r/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1_1870"/>
              <w:jc w:val="center"/>
            </w:pPr>
            <w:r>
              <w:rPr>
                <w:sz w:val="24"/>
              </w:rPr>
              <w:t xml:space="preserve">ЗАЯВКА</w:t>
            </w:r>
            <w:r/>
            <w:r/>
          </w:p>
          <w:p>
            <w:pPr>
              <w:pStyle w:val="1_1870"/>
              <w:jc w:val="center"/>
            </w:pPr>
            <w:r>
              <w:rPr>
                <w:sz w:val="24"/>
              </w:rPr>
              <w:t xml:space="preserve">на предоставление субсидии из областного бюджета Ленинградской области государственным бюджетным учреждениям Ленинградской области, подведомственным Комитету государственного заказа Ленинградской области, на иные цели</w:t>
            </w:r>
            <w:r/>
            <w:r/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1_1870"/>
            </w:pPr>
            <w:r>
              <w:rPr>
                <w:sz w:val="24"/>
              </w:rPr>
            </w:r>
            <w:r/>
            <w:r/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1_1870"/>
              <w:jc w:val="center"/>
            </w:pPr>
            <w:r>
              <w:rPr>
                <w:sz w:val="24"/>
              </w:rPr>
              <w:t xml:space="preserve">полное и сокращенное наименование юридического лица, ИНН, ОГРН, ОКВЭД, банковские реквизиты</w:t>
            </w:r>
            <w:r/>
            <w:r/>
          </w:p>
          <w:p>
            <w:pPr>
              <w:pStyle w:val="1_1870"/>
              <w:jc w:val="both"/>
            </w:pPr>
            <w:r>
              <w:rPr>
                <w:sz w:val="24"/>
              </w:rPr>
              <w:t xml:space="preserve">в соответствии с </w:t>
            </w:r>
            <w:hyperlink r:id="rId9" w:tooltip="Приказ комитета государственного заказа Ленинградской области от 28.04.2022 N 7-п &quot;Об утверждении порядка определения объема и условий предоставления из областного бюджета Ленинградской области субсидий Государственному бюджетному учреждению Ленинградской области &quot;Фонд имущества Ленинградской области&quot;, подведомственному Комитету государственного заказа Ленинградской области, на иные цели и о признании утратившим силу приказа Комитета государственного заказа Ленинградской области от 5 марта 2021 года N 9-п&quot; {КонсультантПлюс}" w:history="1">
              <w:r>
                <w:rPr>
                  <w:color w:val="0000ff"/>
                  <w:sz w:val="24"/>
                </w:rPr>
                <w:t xml:space="preserve">Порядком</w:t>
              </w:r>
            </w:hyperlink>
            <w:r>
              <w:rPr>
                <w:sz w:val="24"/>
              </w:rPr>
              <w:t xml:space="preserve"> определения объема и условий предоставления из областного бюджета Ленинградской области субсидий государственному бюджетному учреждению Ленинградской области, подведомственному Комитету госуд</w:t>
            </w:r>
            <w:r>
              <w:rPr>
                <w:sz w:val="24"/>
              </w:rPr>
              <w:t xml:space="preserve">арственного заказа Ленинградской области, на иные цели, утвержденным приказом Комитета государственного заказа Ленинградской области от "__" _________ 202_ г. N ____, просит предоставить субсидию в году в размере рублей на реализацию следующих мероприятий:</w:t>
            </w: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44" w:type="dxa"/>
            <w:textDirection w:val="lrTb"/>
            <w:noWrap w:val="false"/>
          </w:tcPr>
          <w:p>
            <w:pPr>
              <w:pStyle w:val="1_1870"/>
            </w:pPr>
            <w:r>
              <w:rPr>
                <w:sz w:val="24"/>
              </w:rPr>
              <w:t xml:space="preserve">1)</w:t>
            </w: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947" w:type="dxa"/>
            <w:textDirection w:val="lrTb"/>
            <w:noWrap w:val="false"/>
          </w:tcPr>
          <w:p>
            <w:pPr>
              <w:pStyle w:val="1_1870"/>
              <w:jc w:val="both"/>
            </w:pPr>
            <w:r>
              <w:rPr>
                <w:sz w:val="24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pStyle w:val="1_1870"/>
            </w:pPr>
            <w:r>
              <w:rPr>
                <w:sz w:val="24"/>
              </w:rPr>
              <w:t xml:space="preserve">;</w:t>
            </w: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44" w:type="dxa"/>
            <w:textDirection w:val="lrTb"/>
            <w:noWrap w:val="false"/>
          </w:tcPr>
          <w:p>
            <w:pPr>
              <w:pStyle w:val="1_1870"/>
            </w:pPr>
            <w:r>
              <w:rPr>
                <w:sz w:val="24"/>
              </w:rPr>
              <w:t xml:space="preserve">2)</w:t>
            </w:r>
            <w:r/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947" w:type="dxa"/>
            <w:textDirection w:val="lrTb"/>
            <w:noWrap w:val="false"/>
          </w:tcPr>
          <w:p>
            <w:pPr>
              <w:pStyle w:val="1_1870"/>
              <w:jc w:val="both"/>
            </w:pPr>
            <w:r>
              <w:rPr>
                <w:sz w:val="24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pStyle w:val="1_1870"/>
              <w:jc w:val="both"/>
            </w:pPr>
            <w:r>
              <w:rPr>
                <w:sz w:val="24"/>
              </w:rPr>
              <w:t xml:space="preserve">.</w:t>
            </w:r>
            <w:r/>
            <w:r/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1_1870"/>
              <w:jc w:val="center"/>
            </w:pPr>
            <w:r>
              <w:rPr>
                <w:sz w:val="24"/>
              </w:rPr>
              <w:t xml:space="preserve">(</w:t>
            </w:r>
            <w:hyperlink r:id="rId10" w:tooltip="Приказ комитета государственного заказа Ленинградской области от 28.04.2022 N 7-п &quot;Об утверждении порядка определения объема и условий предоставления из областного бюджета Ленинградской области субсидий Государственному бюджетному учреждению Ленинградской области &quot;Фонд имущества Ленинградской области&quot;, подведомственному Комитету государственного заказа Ленинградской области, на иные цели и о признании утратившим силу приказа Комитета государственного заказа Ленинградской области от 5 марта 2021 года N 9-п&quot; {КонсультантПлюс}" w:history="1">
              <w:r>
                <w:rPr>
                  <w:color w:val="0000ff"/>
                  <w:sz w:val="24"/>
                </w:rPr>
                <w:t xml:space="preserve">пункт 1.2</w:t>
              </w:r>
            </w:hyperlink>
            <w:r>
              <w:rPr>
                <w:sz w:val="24"/>
              </w:rPr>
              <w:t xml:space="preserve"> Порядка...)</w:t>
            </w:r>
            <w:r/>
            <w:r/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1_1870"/>
              <w:jc w:val="both"/>
            </w:pPr>
            <w:r>
              <w:rPr>
                <w:sz w:val="24"/>
              </w:rPr>
              <w:t xml:space="preserve">Для оперативного уведомления по вопросам организационного характера и взаимодействия от учреждения уполномочен</w:t>
            </w:r>
            <w:r/>
            <w:r/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1_1870"/>
            </w:pPr>
            <w:r>
              <w:rPr>
                <w:sz w:val="24"/>
              </w:rPr>
            </w:r>
            <w:r/>
            <w:r/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1_1870"/>
              <w:jc w:val="center"/>
            </w:pPr>
            <w:r>
              <w:rPr>
                <w:sz w:val="24"/>
              </w:rPr>
              <w:t xml:space="preserve">(фамилия, имя, отчество, должность, телефон, факс с указанием кода,</w:t>
            </w:r>
            <w:r/>
            <w:r/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1_1870"/>
            </w:pPr>
            <w:r>
              <w:rPr>
                <w:sz w:val="24"/>
              </w:rPr>
            </w:r>
            <w:r/>
            <w:r/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1_1870"/>
              <w:jc w:val="center"/>
            </w:pPr>
            <w:r>
              <w:rPr>
                <w:sz w:val="24"/>
              </w:rPr>
              <w:t xml:space="preserve">адрес, электронный адрес уполномоченного лица)</w:t>
            </w:r>
            <w:r/>
            <w:r/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1_1870"/>
              <w:jc w:val="both"/>
            </w:pPr>
            <w:r>
              <w:rPr>
                <w:sz w:val="24"/>
              </w:rPr>
              <w:t xml:space="preserve">К настоящему заявлению прилагается комплект документов, являющихся его неотъемлемой частью, на ___ л.:</w:t>
            </w:r>
            <w:r/>
            <w:r/>
          </w:p>
          <w:p>
            <w:pPr>
              <w:pStyle w:val="1_1870"/>
            </w:pPr>
            <w:r>
              <w:rPr>
                <w:sz w:val="24"/>
              </w:rPr>
              <w:t xml:space="preserve">1)</w:t>
            </w:r>
            <w:r/>
            <w:r/>
          </w:p>
          <w:p>
            <w:pPr>
              <w:pStyle w:val="1_1870"/>
            </w:pPr>
            <w:r>
              <w:rPr>
                <w:sz w:val="24"/>
              </w:rPr>
              <w:t xml:space="preserve">2)</w:t>
            </w:r>
            <w:r/>
            <w:r/>
          </w:p>
          <w:p>
            <w:pPr>
              <w:pStyle w:val="1_1870"/>
            </w:pPr>
            <w:r>
              <w:rPr>
                <w:sz w:val="24"/>
              </w:rPr>
              <w:t xml:space="preserve">3) ...</w:t>
            </w:r>
            <w:r/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43" w:type="dxa"/>
            <w:textDirection w:val="lrTb"/>
            <w:noWrap w:val="false"/>
          </w:tcPr>
          <w:p>
            <w:pPr>
              <w:pStyle w:val="1_1870"/>
            </w:pPr>
            <w:r>
              <w:rPr>
                <w:sz w:val="24"/>
              </w:rPr>
              <w:t xml:space="preserve">Руководитель организации</w:t>
            </w: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1_1870"/>
            </w:pPr>
            <w:r>
              <w:rPr>
                <w:sz w:val="24"/>
              </w:rPr>
            </w:r>
            <w:r/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43" w:type="dxa"/>
            <w:textDirection w:val="lrTb"/>
            <w:noWrap w:val="false"/>
          </w:tcPr>
          <w:p>
            <w:pPr>
              <w:pStyle w:val="1_1870"/>
            </w:pPr>
            <w:r>
              <w:rPr>
                <w:sz w:val="24"/>
              </w:rPr>
              <w:t xml:space="preserve">(лицо, уполномоченное на подписание, реквизиты документа, подтверждающего полномочия)</w:t>
            </w:r>
            <w:r/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1_1870"/>
              <w:jc w:val="center"/>
            </w:pPr>
            <w:r>
              <w:rPr>
                <w:sz w:val="24"/>
              </w:rPr>
              <w:t xml:space="preserve">(подпись, фамилия, имя, отчество)</w:t>
            </w:r>
            <w:r/>
            <w:r/>
          </w:p>
        </w:tc>
      </w:tr>
    </w:tbl>
    <w:p>
      <w:pPr>
        <w:shd w:val="nil" w:color="00000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sectPr>
      <w:footnotePr/>
      <w:endnotePr/>
      <w:type w:val="nextPage"/>
      <w:pgSz w:w="11906" w:h="16838" w:orient="portrait"/>
      <w:pgMar w:top="992" w:right="709" w:bottom="1134" w:left="1276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  <w:style w:type="paragraph" w:styleId="837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87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s://cons-goszakaz.lenreg.ru/cgi/online.cgi?req=doc&amp;base=SPB&amp;n=255865&amp;date=31.07.2026&amp;dst=100011&amp;field=134" TargetMode="External"/><Relationship Id="rId10" Type="http://schemas.openxmlformats.org/officeDocument/2006/relationships/hyperlink" Target="https://cons-goszakaz.lenreg.ru/cgi/online.cgi?req=doc&amp;base=SPB&amp;n=255865&amp;date=31.07.2026&amp;dst=100014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ea_khabarova</cp:lastModifiedBy>
  <cp:revision>3</cp:revision>
  <dcterms:modified xsi:type="dcterms:W3CDTF">2026-07-31T12:37:46Z</dcterms:modified>
</cp:coreProperties>
</file>