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12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348" cy="663168"/>
                <wp:effectExtent l="0" t="0" r="0" b="3810"/>
                <wp:docPr id="1" name="Рисунок 2" descr="QVbKmKfy-9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6417140" name="Picture 1" descr="QVbKmKfy-9I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6658" cy="6635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.96pt;height:52.22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ЛЕНИНГРАДСКОЙ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КОМИТЕТ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ЛЕНИНГРАДСКОЙ ОБЛАСТИ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 ОБРАЩЕНИЮ С ОТХОДАМИ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ПРИКАЗ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№ 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Об утверждении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Административного регламента предоставления на территории Ленинградской области государственной услуги «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Размещение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 официальном сайте Комитета Ленинградской области по обращению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 отходами сведений об иных лицах, осуществляющих обеззараживание медицинских отходов, о лицах, осуществляющих оказание услуг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 транспортированию, обезвреживанию медицинских отходо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 территории Ленинградской области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  <w:br/>
        <w:t xml:space="preserve">от 28 марта 2026 года № 339 «Об утверждении Правил размещения на официальном сайте уполномоченного исполнительного органа субъекта Российской Федерации сведений об иных лицах, осуществляющих обеззараживание медицинских отходов, о лица</w:t>
      </w:r>
      <w:r>
        <w:rPr>
          <w:rFonts w:ascii="Times New Roman" w:hAnsi="Times New Roman" w:cs="Times New Roman"/>
          <w:sz w:val="28"/>
          <w:szCs w:val="28"/>
        </w:rPr>
        <w:t xml:space="preserve">х, осуществляющих оказание услуг по транспортированию, обезвреживанию медицинских отходов на территории субъекта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пунктом </w:t>
      </w:r>
      <w:r>
        <w:rPr>
          <w:rFonts w:ascii="Times New Roman" w:hAnsi="Times New Roman" w:cs="Times New Roman"/>
          <w:sz w:val="28"/>
          <w:szCs w:val="28"/>
        </w:rPr>
        <w:t xml:space="preserve">2.1.33 </w:t>
      </w:r>
      <w:r>
        <w:rPr>
          <w:rFonts w:ascii="Times New Roman" w:hAnsi="Times New Roman" w:cs="Times New Roman"/>
          <w:sz w:val="28"/>
          <w:szCs w:val="28"/>
        </w:rPr>
        <w:t xml:space="preserve">Положения о Комитете Ленинградской области по обращению с отходами,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Ленинградской области от 8 июля 2020 года № 490,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приказываю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на территории Ленинградской области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ус</w:t>
      </w:r>
      <w:r>
        <w:rPr>
          <w:rFonts w:ascii="Times New Roman" w:hAnsi="Times New Roman" w:cs="Times New Roman"/>
          <w:sz w:val="28"/>
          <w:szCs w:val="28"/>
        </w:rPr>
        <w:t xml:space="preserve">луги «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змещение на официальном сайте Комитета Ленинградской области по обращению с отходами сведений </w:t>
        <w:br/>
        <w:t xml:space="preserve">об иных лицах, осуществляющих обеззараживание медицинских отходов, о лицах, осуществляющих оказание услуг по транспортированию, обезвреживанию медицинских отходо</w:t>
      </w:r>
      <w:r>
        <w:rPr>
          <w:rFonts w:ascii="Times New Roman" w:hAnsi="Times New Roman" w:cs="Times New Roman"/>
          <w:sz w:val="28"/>
          <w:szCs w:val="28"/>
        </w:rPr>
        <w:t xml:space="preserve">в на территории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(далее – Административный регламент)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 к настоящему приказу.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 Пункты 1.3, 2.3, 2.7, 2.8, 3.2, 3.3, 3.6, 4 Административного регламента, </w:t>
        <w:br/>
        <w:t xml:space="preserve">а также приложение к нему в части использования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федеральной государственной информационной системы «Единый портал государственных и муниципальных услуг (функций)» (Единый портал)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вступают в силу с 1 марта 2027 года.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возложить на заместителя председателя комитета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83"/>
        <w:ind w:firstLine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Комитета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А.Н. Кузнецова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</w:pP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  <w:r/>
    </w:p>
    <w:p>
      <w:pPr>
        <w:jc w:val="right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УТВЕРЖДЕНО </w:t>
      </w:r>
      <w:r>
        <w:rPr>
          <w:sz w:val="28"/>
          <w:szCs w:val="28"/>
          <w:highlight w:val="none"/>
        </w:rPr>
      </w:r>
    </w:p>
    <w:p>
      <w:pPr>
        <w:jc w:val="right"/>
      </w:pPr>
      <w:r>
        <w:rPr>
          <w:bCs/>
          <w:sz w:val="28"/>
          <w:szCs w:val="28"/>
          <w:highlight w:val="none"/>
        </w:rPr>
        <w:t xml:space="preserve">приказом Комитета Ленинградской </w:t>
      </w:r>
      <w:r/>
    </w:p>
    <w:p>
      <w:pPr>
        <w:jc w:val="right"/>
      </w:pPr>
      <w:r>
        <w:rPr>
          <w:bCs/>
          <w:sz w:val="28"/>
          <w:szCs w:val="28"/>
          <w:highlight w:val="none"/>
        </w:rPr>
        <w:t xml:space="preserve">области по обращению с отходами</w:t>
      </w:r>
      <w:r/>
    </w:p>
    <w:p>
      <w:pPr>
        <w:jc w:val="right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от _______ 2026 г. № 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(приложение)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  <w:highlight w:val="none"/>
        </w:rPr>
      </w:pPr>
      <w:r>
        <w:rPr>
          <w:bCs/>
          <w:sz w:val="28"/>
          <w:szCs w:val="28"/>
        </w:rPr>
        <w:t xml:space="preserve">Административный регламент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предоставления на территории Ленинградской области государственной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услуги «</w:t>
      </w:r>
      <w:r>
        <w:rPr>
          <w:bCs/>
          <w:sz w:val="28"/>
          <w:szCs w:val="28"/>
        </w:rPr>
        <w:t xml:space="preserve">Размещение на официальном сайте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highlight w:val="white"/>
          <w:shd w:val="clear" w:color="ffffff" w:themeColor="background1" w:fill="ffffff" w:themeFill="background1"/>
        </w:rPr>
        <w:t xml:space="preserve">Комитета Ленинградской области по обращению с отходами</w:t>
      </w:r>
      <w:r>
        <w:rPr>
          <w:bCs/>
          <w:sz w:val="28"/>
          <w:szCs w:val="28"/>
          <w:highlight w:val="white"/>
        </w:rPr>
        <w:t xml:space="preserve"> </w:t>
      </w:r>
      <w:r>
        <w:rPr>
          <w:bCs/>
          <w:sz w:val="28"/>
          <w:szCs w:val="28"/>
        </w:rPr>
        <w:t xml:space="preserve">сведений об иных лицах, осуществляющих обеззараживание медицинских отходов, о лицах, осуществляющих оказание услуг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по транспортирован</w:t>
      </w:r>
      <w:r>
        <w:rPr>
          <w:bCs/>
          <w:sz w:val="28"/>
          <w:szCs w:val="28"/>
        </w:rPr>
        <w:t xml:space="preserve">ию, обезвреживанию медицинских отходов </w:t>
      </w:r>
      <w:r>
        <w:rPr>
          <w:bCs/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на территории Ленинградской области»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регламент, государственная услуга)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567" w:firstLine="340"/>
        <w:jc w:val="center"/>
        <w:widowControl w:val="off"/>
        <w:tabs>
          <w:tab w:val="left" w:pos="142" w:leader="none"/>
          <w:tab w:val="left" w:pos="284" w:leader="none"/>
        </w:tabs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-567"/>
        <w:jc w:val="center"/>
        <w:widowControl w:val="off"/>
        <w:tabs>
          <w:tab w:val="left" w:pos="142" w:leader="none"/>
          <w:tab w:val="left" w:pos="284" w:leader="none"/>
        </w:tabs>
        <w:rPr>
          <w:b/>
          <w:bCs/>
          <w:sz w:val="28"/>
          <w:szCs w:val="28"/>
        </w:rPr>
        <w:outlineLvl w:val="0"/>
      </w:pPr>
      <w:r/>
      <w:bookmarkStart w:id="0" w:name="sub_1001"/>
      <w:r>
        <w:rPr>
          <w:b/>
          <w:bCs/>
          <w:sz w:val="28"/>
          <w:szCs w:val="28"/>
        </w:rPr>
        <w:t xml:space="preserve">1. Общие положения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-567"/>
        <w:jc w:val="center"/>
        <w:widowControl w:val="off"/>
        <w:tabs>
          <w:tab w:val="left" w:pos="142" w:leader="none"/>
          <w:tab w:val="left" w:pos="284" w:leader="none"/>
        </w:tabs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99"/>
        <w:ind w:left="709"/>
        <w:jc w:val="both"/>
        <w:spacing w:after="0" w:line="240" w:lineRule="auto"/>
        <w:widowControl w:val="off"/>
        <w:tabs>
          <w:tab w:val="left" w:pos="142" w:leader="none"/>
          <w:tab w:val="left" w:pos="284" w:leader="none"/>
          <w:tab w:val="left" w:pos="1418" w:leader="none"/>
        </w:tabs>
        <w:rPr>
          <w:rFonts w:ascii="Times New Roman" w:hAnsi="Times New Roman"/>
          <w:sz w:val="28"/>
          <w:szCs w:val="28"/>
        </w:rPr>
      </w:pPr>
      <w:r/>
      <w:bookmarkStart w:id="1" w:name="sub_1011"/>
      <w:r/>
      <w:bookmarkEnd w:id="0"/>
      <w:r>
        <w:rPr>
          <w:rFonts w:ascii="Times New Roman" w:hAnsi="Times New Roman"/>
          <w:sz w:val="28"/>
          <w:szCs w:val="28"/>
        </w:rPr>
        <w:t xml:space="preserve">1.1. Предмет регулирования.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9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284" w:leader="none"/>
          <w:tab w:val="left" w:pos="141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 устанавливает порядок и стандарт предоставления государственной услуги.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9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284" w:leader="none"/>
          <w:tab w:val="left" w:pos="141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9"/>
        <w:ind w:left="709"/>
        <w:jc w:val="both"/>
        <w:spacing w:after="0" w:line="240" w:lineRule="auto"/>
        <w:widowControl w:val="off"/>
        <w:tabs>
          <w:tab w:val="left" w:pos="142" w:leader="none"/>
          <w:tab w:val="left" w:pos="284" w:leader="none"/>
          <w:tab w:val="left" w:pos="141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Круг заявителей.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услуга </w:t>
      </w:r>
      <w:r>
        <w:rPr>
          <w:rFonts w:eastAsiaTheme="minorHAnsi"/>
          <w:sz w:val="28"/>
          <w:szCs w:val="28"/>
          <w:lang w:eastAsia="en-US"/>
        </w:rPr>
        <w:t xml:space="preserve">предоставляется </w:t>
      </w:r>
      <w:r>
        <w:rPr>
          <w:sz w:val="28"/>
          <w:szCs w:val="28"/>
        </w:rPr>
        <w:t xml:space="preserve">индивидуальным предпринимателям и юридическим лицам,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указанным в абзаце третьем подпункта 1 пункта 4</w:t>
      </w:r>
      <w:r>
        <w:rPr>
          <w:sz w:val="28"/>
          <w:szCs w:val="28"/>
          <w:highlight w:val="white"/>
        </w:rPr>
        <w:t xml:space="preserve"> статьи 22.1 Федерального закона от 30.03.1999 № 52-ФЗ «О санитарно-эпидемиологи</w:t>
      </w:r>
      <w:r>
        <w:rPr>
          <w:sz w:val="28"/>
          <w:szCs w:val="28"/>
          <w:highlight w:val="white"/>
        </w:rPr>
        <w:t xml:space="preserve">ческом благополучии населения»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и(</w:t>
      </w:r>
      <w:r>
        <w:rPr>
          <w:sz w:val="28"/>
          <w:szCs w:val="28"/>
          <w:highlight w:val="white"/>
        </w:rPr>
        <w:t xml:space="preserve">или) </w:t>
      </w:r>
      <w:r>
        <w:rPr>
          <w:bCs/>
          <w:sz w:val="28"/>
          <w:szCs w:val="28"/>
          <w:highlight w:val="white"/>
        </w:rPr>
        <w:t xml:space="preserve">осуществляющим оказание услуг по транспортированию, обезвреживанию медицинских отходов на территории Ленинградской области.</w:t>
      </w:r>
      <w:bookmarkEnd w:id="1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 имени заявителей при предоставлении государственной услуги могут выступать иные лица, имеющие право в соответствии с закон</w:t>
      </w:r>
      <w:r>
        <w:rPr>
          <w:rFonts w:eastAsiaTheme="minorHAnsi"/>
          <w:sz w:val="28"/>
          <w:szCs w:val="28"/>
          <w:lang w:eastAsia="en-US"/>
        </w:rPr>
        <w:t xml:space="preserve">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государственной услуги (далее – представители заявителей).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</w:t>
      </w:r>
      <w:r>
        <w:rPr>
          <w:rFonts w:eastAsiaTheme="minorHAnsi"/>
          <w:sz w:val="28"/>
          <w:szCs w:val="28"/>
          <w:lang w:eastAsia="en-US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 </w:t>
      </w:r>
      <w:r>
        <w:rPr>
          <w:rFonts w:eastAsiaTheme="minorHAnsi"/>
          <w:sz w:val="28"/>
          <w:szCs w:val="28"/>
          <w:lang w:eastAsia="en-US"/>
        </w:rPr>
        <w:t xml:space="preserve">и в федеральной государственной информационной системе «Единый портал государственных и муниципальных услуг (функций)» (далее </w:t>
      </w:r>
      <w:r>
        <w:rPr>
          <w:rFonts w:eastAsiaTheme="minorHAnsi"/>
          <w:sz w:val="28"/>
          <w:szCs w:val="28"/>
          <w:lang w:eastAsia="en-US"/>
        </w:rPr>
        <w:t xml:space="preserve">–</w:t>
      </w:r>
      <w:r>
        <w:rPr>
          <w:rFonts w:eastAsiaTheme="minorHAnsi"/>
          <w:sz w:val="28"/>
          <w:szCs w:val="28"/>
          <w:lang w:eastAsia="en-US"/>
        </w:rPr>
        <w:t xml:space="preserve"> Единый портал). 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pStyle w:val="999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284" w:leader="none"/>
        </w:tabs>
        <w:rPr>
          <w:rFonts w:ascii="Times New Roman" w:hAnsi="Times New Roman"/>
          <w:sz w:val="28"/>
          <w:szCs w:val="28"/>
        </w:rPr>
      </w:pPr>
      <w:r/>
      <w:bookmarkStart w:id="2" w:name="sub_1002"/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widowControl w:val="off"/>
        <w:tabs>
          <w:tab w:val="left" w:pos="142" w:leader="none"/>
          <w:tab w:val="left" w:pos="284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Стандарт предоставления государственной услуги</w:t>
      </w:r>
      <w:bookmarkEnd w:id="2"/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99"/>
        <w:ind w:left="555"/>
        <w:jc w:val="both"/>
        <w:spacing w:after="0" w:line="240" w:lineRule="auto"/>
        <w:widowControl w:val="off"/>
        <w:tabs>
          <w:tab w:val="left" w:pos="142" w:leader="none"/>
          <w:tab w:val="left" w:pos="28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142" w:leader="none"/>
          <w:tab w:val="left" w:pos="284" w:leader="none"/>
        </w:tabs>
        <w:rPr>
          <w:sz w:val="28"/>
          <w:szCs w:val="28"/>
        </w:rPr>
      </w:pPr>
      <w:r/>
      <w:bookmarkStart w:id="3" w:name="sub_1021"/>
      <w:r>
        <w:rPr>
          <w:sz w:val="28"/>
          <w:szCs w:val="28"/>
        </w:rPr>
        <w:t xml:space="preserve">2.1. Наименование государственной услуги: </w:t>
      </w:r>
      <w:r>
        <w:rPr>
          <w:sz w:val="28"/>
          <w:szCs w:val="28"/>
        </w:rPr>
        <w:t xml:space="preserve">«</w:t>
      </w:r>
      <w:r>
        <w:rPr>
          <w:bCs/>
          <w:sz w:val="28"/>
          <w:szCs w:val="28"/>
        </w:rPr>
        <w:t xml:space="preserve">Размещение на официальном сайте </w:t>
      </w:r>
      <w:r>
        <w:rPr>
          <w:bCs/>
          <w:sz w:val="28"/>
          <w:szCs w:val="28"/>
          <w:highlight w:val="white"/>
        </w:rPr>
        <w:t xml:space="preserve">Комитета Ленинградской области по обращению с отходами</w:t>
      </w:r>
      <w:r>
        <w:rPr>
          <w:bCs/>
          <w:sz w:val="28"/>
          <w:szCs w:val="28"/>
        </w:rPr>
        <w:t xml:space="preserve"> сведений об иных лицах, осуществляющих обеззараживание медицинских отходов, о лицах, осуществляющих оказание услуг по транспортирова</w:t>
      </w:r>
      <w:r>
        <w:rPr>
          <w:bCs/>
          <w:sz w:val="28"/>
          <w:szCs w:val="28"/>
        </w:rPr>
        <w:t xml:space="preserve">нию, обезвреживанию медицинских отходов на территории Ленинградской области</w:t>
      </w:r>
      <w:r>
        <w:rPr>
          <w:bCs/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142" w:leader="none"/>
          <w:tab w:val="left" w:pos="28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/>
      <w:r/>
      <w:bookmarkEnd w:id="3"/>
      <w:r>
        <w:rPr>
          <w:sz w:val="28"/>
          <w:szCs w:val="28"/>
        </w:rPr>
        <w:t xml:space="preserve">2.2. Наименование органа, предоставляющего государственную услугу.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Государственную услугу предоставляет: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 Ленинградской области по обращению с отходами (далее – Комитет).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2.3. Результат предоставления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trike/>
          <w:sz w:val="28"/>
          <w:szCs w:val="28"/>
        </w:rPr>
      </w:pPr>
      <w:r>
        <w:rPr>
          <w:sz w:val="28"/>
          <w:szCs w:val="28"/>
        </w:rPr>
        <w:t xml:space="preserve">Результатом предоставления государственной услуги является: размещение на официальном сайте Комитета сведений </w:t>
      </w:r>
      <w:r>
        <w:rPr>
          <w:bCs/>
          <w:sz w:val="28"/>
          <w:szCs w:val="28"/>
        </w:rPr>
        <w:t xml:space="preserve">об иных лицах, осуществляющих обеззараживание медицинских отходов, о лицах, осуществляющих оказание услуг по транспортирова</w:t>
      </w:r>
      <w:r>
        <w:rPr>
          <w:bCs/>
          <w:sz w:val="28"/>
          <w:szCs w:val="28"/>
        </w:rPr>
        <w:t xml:space="preserve">нию, обезвреживанию медицинских отходов на территории Ленинградской области</w:t>
      </w:r>
      <w:r>
        <w:rPr>
          <w:bCs/>
          <w:sz w:val="28"/>
          <w:szCs w:val="28"/>
        </w:rPr>
        <w:t xml:space="preserve">.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Уведомление о размещении на официальном сайте </w:t>
      </w:r>
      <w:r>
        <w:rPr>
          <w:sz w:val="28"/>
          <w:szCs w:val="28"/>
          <w:highlight w:val="white"/>
        </w:rPr>
        <w:t xml:space="preserve">Комитета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сведений </w:t>
        <w:br/>
        <w:t xml:space="preserve">(о </w:t>
      </w:r>
      <w:r>
        <w:rPr>
          <w:sz w:val="28"/>
          <w:szCs w:val="28"/>
        </w:rPr>
        <w:t xml:space="preserve">внесении изменений в сведения, в том числе об окончании оказания услуг либо </w:t>
        <w:br/>
        <w:t xml:space="preserve">о возобновлении оказания услуг по обеззараживанию, транспортированию, обезвреживанию медицинских отходов) </w:t>
      </w:r>
      <w:r>
        <w:rPr>
          <w:sz w:val="28"/>
          <w:szCs w:val="28"/>
        </w:rPr>
        <w:t xml:space="preserve">осуществляется с использованием Единого портала либо по адресу электронной почты или на бумажном носителе.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2.4. Срок предоставления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предоставления государственной услуги составляет 5 рабочих дней со дня поступления заявления и документов в Комитет.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2.5. Размер платы, взимаемой с заявителя при предоставлении государственной услуги, и способы ее взимания.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Взимание платы за предоставление государственной услуги законодательством Российской Федерации не предусмотрено.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2.6. Срок регистрации запроса заявителя о предоставлении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запроса заявителя о предоставлении государственной </w:t>
      </w:r>
      <w:r>
        <w:rPr>
          <w:sz w:val="28"/>
          <w:szCs w:val="28"/>
        </w:rPr>
        <w:t xml:space="preserve">услуги составляет 1 рабочий день со дня поступления </w:t>
      </w:r>
      <w:r>
        <w:rPr>
          <w:sz w:val="28"/>
          <w:szCs w:val="28"/>
          <w:highlight w:val="white"/>
        </w:rPr>
        <w:t xml:space="preserve">заявления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в Комитет.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2.7. Показатели качества и доступности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«Интернет», а также Едином портале.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2.8. Иные требования к предоставлению государственной услуги, в том числе учитывающие особенности предоставления государственной услуги в электронной форме.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Возможность предоставления государственной услуги в многофункциональном центре не предусмотрена.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система, используемая для предоставления государственной услуги, – Единый портал (</w:t>
      </w:r>
      <w:r>
        <w:rPr>
          <w:sz w:val="28"/>
          <w:szCs w:val="28"/>
        </w:rPr>
        <w:t xml:space="preserve">www.gosuslugi.ru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trike/>
          <w:sz w:val="28"/>
          <w:szCs w:val="28"/>
        </w:rPr>
      </w:pPr>
      <w:r>
        <w:rPr>
          <w:strike/>
          <w:sz w:val="28"/>
          <w:szCs w:val="28"/>
          <w:highlight w:val="yellow"/>
        </w:rPr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2.9. Исчерпывающий перечень документов, необходимых для предоставления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</w:t>
        <w:br/>
        <w:t xml:space="preserve">с законодательными и иными нормативными правовыми актами для предоставления государственной услуги приведен в приложении к настоящему регламенту (таблица № 2).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Форма заявления приведена в приложении к настоящему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2.10. Исчерпывающий перечень оснований для отказа в приеме запроса </w:t>
        <w:br/>
        <w:t xml:space="preserve">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</w:t>
        <w:br/>
        <w:t xml:space="preserve">в предоставлении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Основания для отказа в приеме заявления и докуме</w:t>
      </w:r>
      <w:r>
        <w:rPr>
          <w:sz w:val="28"/>
          <w:szCs w:val="28"/>
          <w:highlight w:val="white"/>
        </w:rPr>
        <w:t xml:space="preserve">нтов, основания для приостановления предоставления государственной услуги, основания для отказа </w:t>
        <w:br/>
        <w:t xml:space="preserve">в предоставлении государственной услуги приведены в приложении к настоящему административному регламенту (таблица № 3).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Состав, последовательность и сроки выполнения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административных процедур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3.1. Перечень осуществляемых при предоставлении государственной услуги административных процедур.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а) профилирование заявителя;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б) прием заявления и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г) принятие решения о предоставлении (отказе в предоставлении) государственной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д) предоставление результата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3.2. Профилирование заявителя.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 результат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 получения ответов от заявителя на вопросы профилирования определяется полный перечень комбинаций значений признаков в соответствии </w:t>
        <w:br/>
        <w:t xml:space="preserve">с настоящим регламентом, каждая из которых соответствует одной категории (признаку) предоставления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Идентификаторы категорий (признаков) заявителей приведены в приложении к настоящему регламенту (таблица № 1).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 Прием запроса и документов </w:t>
      </w:r>
      <w:r>
        <w:rPr>
          <w:sz w:val="28"/>
          <w:szCs w:val="28"/>
        </w:rPr>
        <w:t xml:space="preserve">и(</w:t>
      </w:r>
      <w:r>
        <w:rPr>
          <w:sz w:val="28"/>
          <w:szCs w:val="28"/>
        </w:rPr>
        <w:t xml:space="preserve">или) информации, необходимых для предоставления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Состав запроса и перечень документов </w:t>
      </w:r>
      <w:r>
        <w:rPr>
          <w:sz w:val="28"/>
          <w:szCs w:val="28"/>
        </w:rPr>
        <w:t xml:space="preserve">и(</w:t>
      </w:r>
      <w:r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посредством предъявления паспорта гражданина Российской Федер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либо иного документа, удостоверяющего личность, </w:t>
        <w:br/>
        <w:t xml:space="preserve">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статьями 9, 10 и 14 Федерального закона </w:t>
      </w:r>
      <w:r>
        <w:rPr>
          <w:sz w:val="28"/>
          <w:szCs w:val="28"/>
        </w:rPr>
        <w:t xml:space="preserve">от 29 декабря 2022 года № 572-ФЗ «Об осуществлении идентификации </w:t>
      </w:r>
      <w:r>
        <w:rPr>
          <w:sz w:val="28"/>
          <w:szCs w:val="28"/>
        </w:rPr>
        <w:t xml:space="preserve">и(</w:t>
      </w:r>
      <w:r>
        <w:rPr>
          <w:sz w:val="28"/>
          <w:szCs w:val="28"/>
        </w:rPr>
        <w:t xml:space="preserve"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r>
        <w:rPr>
          <w:sz w:val="28"/>
          <w:szCs w:val="28"/>
        </w:rPr>
        <w:t xml:space="preserve">утратившими</w:t>
      </w:r>
      <w:r>
        <w:rPr>
          <w:sz w:val="28"/>
          <w:szCs w:val="28"/>
        </w:rPr>
        <w:t xml:space="preserve"> силу отдельных положений законодательных актов Российской Федерации» (далее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Федеральный закон </w:t>
      </w:r>
      <w:r>
        <w:rPr>
          <w:sz w:val="28"/>
          <w:szCs w:val="28"/>
        </w:rPr>
        <w:t xml:space="preserve">№ 572-ФЗ) (при наличии технической возможности).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государственной услуги в электронной форме идентификация и аутентификация могут осуществляться посредством: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</w:t>
      </w:r>
      <w:r>
        <w:rPr>
          <w:sz w:val="28"/>
          <w:szCs w:val="28"/>
        </w:rPr>
        <w:t xml:space="preserve">ст</w:t>
      </w:r>
      <w:r>
        <w:rPr>
          <w:sz w:val="28"/>
          <w:szCs w:val="28"/>
        </w:rPr>
        <w:t xml:space="preserve">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</w:t>
        <w:br/>
        <w:t xml:space="preserve">и аутентификации, при условии совпадения сведений о физическом лице </w:t>
        <w:br/>
        <w:t xml:space="preserve">в указанных информационных системах;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2) информационных технологий, предусмотренных статьями 9, 10 и 14 Федерального закона № 572-ФЗ.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</w:pPr>
      <w:r>
        <w:rPr>
          <w:sz w:val="28"/>
          <w:szCs w:val="28"/>
          <w:highlight w:val="white"/>
        </w:rPr>
        <w:t xml:space="preserve">Основания для принятия решения об отказе в приеме запроса и документов </w:t>
      </w:r>
      <w:r>
        <w:rPr>
          <w:sz w:val="28"/>
          <w:szCs w:val="28"/>
          <w:highlight w:val="white"/>
        </w:rPr>
        <w:t xml:space="preserve">и(</w:t>
      </w:r>
      <w:r>
        <w:rPr>
          <w:sz w:val="28"/>
          <w:szCs w:val="28"/>
          <w:highlight w:val="white"/>
        </w:rPr>
        <w:t xml:space="preserve">или) информации отсутствуют.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Возможность приема Комитетом запроса и документов </w:t>
      </w:r>
      <w:r>
        <w:rPr>
          <w:sz w:val="28"/>
          <w:szCs w:val="28"/>
        </w:rPr>
        <w:t xml:space="preserve">и(</w:t>
      </w:r>
      <w:r>
        <w:rPr>
          <w:sz w:val="28"/>
          <w:szCs w:val="28"/>
        </w:rPr>
        <w:t xml:space="preserve">или) информации, не</w:t>
      </w:r>
      <w:r>
        <w:rPr>
          <w:sz w:val="28"/>
          <w:szCs w:val="28"/>
        </w:rPr>
        <w:t xml:space="preserve">обходимых для предоставления государственной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Срок регистрации запроса и документов (или) информации, необходимых для предоставления государственной услуги, </w:t>
      </w:r>
      <w:r>
        <w:rPr>
          <w:sz w:val="28"/>
          <w:szCs w:val="28"/>
          <w:highlight w:val="none"/>
        </w:rPr>
        <w:t xml:space="preserve">при направлении почтовой связью или </w:t>
        <w:br/>
        <w:t xml:space="preserve">в форме электронного документа </w:t>
      </w:r>
      <w:r>
        <w:rPr>
          <w:sz w:val="28"/>
          <w:szCs w:val="28"/>
          <w:highlight w:val="none"/>
        </w:rPr>
        <w:t xml:space="preserve">составляет 1 рабочий день со дня поступления </w:t>
        <w:br/>
        <w:t xml:space="preserve">в Комитет.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3.4. Принятие решения о предоставлении (отказе в предоставлении)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Основания для отказа в предоставлении государственной услуги приведены </w:t>
        <w:br/>
        <w:t xml:space="preserve">в приложении к настоящему регламенту (таблица № 3).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(об отказе в предоставлении) государственной услуги осуществляется в срок, не превышающий 5 рабочих дней </w:t>
        <w:br/>
      </w:r>
      <w:r>
        <w:rPr>
          <w:sz w:val="28"/>
          <w:szCs w:val="28"/>
        </w:rPr>
        <w:t xml:space="preserve">с даты получения</w:t>
      </w:r>
      <w:r>
        <w:rPr>
          <w:sz w:val="28"/>
          <w:szCs w:val="28"/>
        </w:rPr>
        <w:t xml:space="preserve"> Комитетом всех сведений, необходимых для принятия решения.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3.5. Предоставление результата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случае принятия решения о предоставлении государственной услуги сведения размещаются на официальном сайте Комитета не позднее 5 рабочих дней со дня их получения.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Изменения в размещенные на официальном сайте Комитета сведения вносятся в течение 3 рабочих дней со дня их получения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Уведомление о размещении на официальном сайте сведений (о внесении изменений в сведения, в том числе об окончании оказания услуг либо </w:t>
        <w:br/>
        <w:t xml:space="preserve">о возобновлении оказания услуг по</w:t>
      </w:r>
      <w:r>
        <w:rPr>
          <w:sz w:val="28"/>
          <w:szCs w:val="28"/>
        </w:rPr>
        <w:t xml:space="preserve"> обеззараживанию, транспортированию, обезвреживанию медицинских отходов) осуществляется с использованием Единого портала либо по адресу электронной почты в течение 1 рабочего дня со дня их размещения, на бумажном носителе в течение 3 рабочих дней со дня их</w:t>
      </w:r>
      <w:r>
        <w:rPr>
          <w:sz w:val="28"/>
          <w:szCs w:val="28"/>
        </w:rPr>
        <w:t xml:space="preserve"> размещения.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Уведомление заявителя об</w:t>
      </w:r>
      <w:r>
        <w:rPr>
          <w:sz w:val="28"/>
          <w:szCs w:val="28"/>
        </w:rPr>
        <w:t xml:space="preserve"> отказе в предоставлении государственной услуги</w:t>
      </w:r>
      <w:r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Комитетом </w:t>
      </w:r>
      <w:r>
        <w:rPr>
          <w:sz w:val="28"/>
          <w:szCs w:val="28"/>
        </w:rPr>
        <w:t xml:space="preserve">не позднее 5 рабочих дней со дня получения сведений.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Возможность предоставления Комитетом результата государственной услуги по выбору заявителя независимо от его места жительства, либо места пребывания, либо места нахождения не предусмотрена.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 Способы информирования заявителя об изменении статуса рассмотрения запроса о предоставлении государственной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способов информирования заявителя об изменении статуса рассмотрения заявки: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посредством электронной почты, по адресу указанному в заявлении;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trike/>
          <w:sz w:val="28"/>
          <w:szCs w:val="28"/>
          <w:highlight w:val="yellow"/>
        </w:rPr>
      </w:pPr>
      <w:r>
        <w:rPr>
          <w:sz w:val="28"/>
          <w:szCs w:val="28"/>
        </w:rPr>
        <w:t xml:space="preserve">- посредством Единого портала;</w:t>
      </w:r>
      <w:r>
        <w:rPr>
          <w:strike/>
          <w:sz w:val="28"/>
          <w:szCs w:val="28"/>
          <w:highlight w:val="yellow"/>
        </w:rPr>
      </w:r>
      <w:r>
        <w:rPr>
          <w:strike/>
          <w:sz w:val="28"/>
          <w:szCs w:val="28"/>
          <w:highlight w:val="yellow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посредством почтовой связи (в случае отсутствия у заявителя доступа к электронным средствам связи).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200" w:line="27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left="3969" w:right="0" w:firstLine="0"/>
        <w:jc w:val="right"/>
        <w:rPr>
          <w:rFonts w:eastAsiaTheme="minorHAnsi"/>
          <w:bCs/>
          <w:sz w:val="28"/>
          <w:szCs w:val="28"/>
          <w:lang w:eastAsia="en-US"/>
        </w:rPr>
        <w:outlineLvl w:val="0"/>
      </w:pPr>
      <w:r>
        <w:rPr>
          <w:rFonts w:eastAsiaTheme="minorHAnsi"/>
          <w:bCs/>
          <w:sz w:val="28"/>
          <w:szCs w:val="28"/>
          <w:lang w:eastAsia="en-US"/>
        </w:rPr>
        <w:t xml:space="preserve">Приложение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left="3969" w:right="0" w:firstLine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к административному регламенту 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left="3969" w:right="0" w:firstLine="0"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предоставления государственной услуги </w:t>
      </w:r>
      <w:r>
        <w:rPr>
          <w:rFonts w:eastAsiaTheme="minorHAnsi"/>
          <w:bCs/>
          <w:sz w:val="28"/>
          <w:szCs w:val="28"/>
          <w:lang w:eastAsia="en-US"/>
        </w:rPr>
        <w:t xml:space="preserve">«</w:t>
      </w:r>
      <w:r>
        <w:rPr>
          <w:bCs/>
          <w:sz w:val="28"/>
          <w:szCs w:val="28"/>
        </w:rPr>
        <w:t xml:space="preserve">Размещение на официальном сайте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highlight w:val="white"/>
          <w:shd w:val="clear" w:color="ffffff" w:themeColor="background1" w:fill="ffffff" w:themeFill="background1"/>
        </w:rPr>
        <w:t xml:space="preserve">Комитета Ленинградской области по обращению с отходами</w:t>
      </w:r>
      <w:r>
        <w:rPr>
          <w:bCs/>
          <w:sz w:val="28"/>
          <w:szCs w:val="28"/>
          <w:highlight w:val="white"/>
        </w:rPr>
        <w:t xml:space="preserve"> </w:t>
      </w:r>
      <w:r>
        <w:rPr>
          <w:bCs/>
          <w:sz w:val="28"/>
          <w:szCs w:val="28"/>
        </w:rPr>
        <w:t xml:space="preserve">сведений об иных лицах, осуществляющих обеззараживание медицинских отходов, о лицах, осуществляющих оказание услуг по транспортирован</w:t>
      </w:r>
      <w:r>
        <w:rPr>
          <w:bCs/>
          <w:sz w:val="28"/>
          <w:szCs w:val="28"/>
        </w:rPr>
        <w:t xml:space="preserve">ию, обезвреживанию медицинских отходов на территории Ленинградской области</w:t>
      </w:r>
      <w:r>
        <w:rPr>
          <w:rFonts w:eastAsiaTheme="minorHAnsi"/>
          <w:bCs/>
          <w:sz w:val="28"/>
          <w:szCs w:val="28"/>
          <w:lang w:eastAsia="en-US"/>
        </w:rPr>
        <w:t xml:space="preserve">»</w:t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Перечень условных обозначений и сокращений, </w:t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Идентификаторы категорий (признаков) заявителей, </w:t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Исчерпывающий перечень документов, необходимых </w:t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для предоставления государственной услуги, </w:t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Исчерпывающий перечень оснований для отказа в приеме запроса о предоставлении государственной услуги и документов, необходимых для предоста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вления услуги, оснований для приостановления предоставления государственной услуги или отказа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I. Перечень условных обозначений и сокращений</w:t>
      </w:r>
      <w:r>
        <w:rPr>
          <w:rFonts w:eastAsiaTheme="minorHAnsi"/>
          <w:b/>
          <w:bCs/>
          <w:sz w:val="28"/>
          <w:szCs w:val="28"/>
          <w:lang w:eastAsia="en-US"/>
        </w:rPr>
        <w:br/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1. Условные сокращения: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Комитет – Комитет Ленинградской области по обращению с отходами;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Единый портал – Федеральная государственная информационная система «Единый портал государственных и муниципальных услуг (функций)»</w:t>
      </w:r>
      <w:r>
        <w:rPr>
          <w:sz w:val="28"/>
          <w:szCs w:val="28"/>
        </w:rPr>
        <w:t xml:space="preserve">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2. Условные обозначения: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а) [Все] </w:t>
      </w:r>
      <w:r>
        <w:rPr>
          <w:rFonts w:eastAsiaTheme="minorHAnsi"/>
          <w:bCs/>
          <w:sz w:val="28"/>
          <w:szCs w:val="28"/>
          <w:lang w:eastAsia="en-US"/>
        </w:rPr>
        <w:t xml:space="preserve">–</w:t>
      </w:r>
      <w:r>
        <w:rPr>
          <w:rFonts w:eastAsiaTheme="minorHAnsi"/>
          <w:bCs/>
          <w:sz w:val="28"/>
          <w:szCs w:val="28"/>
          <w:lang w:eastAsia="en-US"/>
        </w:rPr>
        <w:t xml:space="preserve"> документы представляются всеми заявителями, обращающимися за получением государственной услуги;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б) </w:t>
      </w:r>
      <w:r>
        <w:rPr>
          <w:rFonts w:eastAsiaTheme="minorHAnsi"/>
          <w:bCs/>
          <w:sz w:val="28"/>
          <w:szCs w:val="28"/>
          <w:lang w:eastAsia="en-US"/>
        </w:rPr>
        <w:t xml:space="preserve">П(</w:t>
      </w:r>
      <w:r>
        <w:rPr>
          <w:rFonts w:eastAsiaTheme="minorHAnsi"/>
          <w:bCs/>
          <w:sz w:val="28"/>
          <w:szCs w:val="28"/>
          <w:lang w:eastAsia="en-US"/>
        </w:rPr>
        <w:t xml:space="preserve">з) </w:t>
      </w:r>
      <w:r>
        <w:rPr>
          <w:rFonts w:eastAsiaTheme="minorHAnsi"/>
          <w:bCs/>
          <w:sz w:val="28"/>
          <w:szCs w:val="28"/>
          <w:lang w:eastAsia="en-US"/>
        </w:rPr>
        <w:t xml:space="preserve">–</w:t>
      </w:r>
      <w:r>
        <w:rPr>
          <w:rFonts w:eastAsiaTheme="minorHAnsi"/>
          <w:bCs/>
          <w:sz w:val="28"/>
          <w:szCs w:val="28"/>
          <w:lang w:eastAsia="en-US"/>
        </w:rPr>
        <w:t xml:space="preserve"> представитель заявителя;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в) О </w:t>
      </w:r>
      <w:r>
        <w:rPr>
          <w:rFonts w:eastAsiaTheme="minorHAnsi"/>
          <w:bCs/>
          <w:sz w:val="28"/>
          <w:szCs w:val="28"/>
          <w:lang w:eastAsia="en-US"/>
        </w:rPr>
        <w:t xml:space="preserve">–</w:t>
      </w:r>
      <w:r>
        <w:rPr>
          <w:rFonts w:eastAsiaTheme="minorHAnsi"/>
          <w:bCs/>
          <w:sz w:val="28"/>
          <w:szCs w:val="28"/>
          <w:lang w:eastAsia="en-US"/>
        </w:rPr>
        <w:t xml:space="preserve"> представляется оригинал документа;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bCs/>
          <w:sz w:val="28"/>
          <w:szCs w:val="28"/>
          <w:highlight w:val="white"/>
        </w:rPr>
      </w:pP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г) </w:t>
      </w: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К</w:t>
      </w: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–</w:t>
      </w: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 представляется заверенная копия документа;</w:t>
      </w:r>
      <w:r>
        <w:rPr>
          <w:rFonts w:eastAsiaTheme="minorHAnsi"/>
          <w:bCs/>
          <w:sz w:val="28"/>
          <w:szCs w:val="28"/>
          <w:highlight w:val="white"/>
        </w:rPr>
      </w:r>
      <w:r>
        <w:rPr>
          <w:rFonts w:eastAsiaTheme="minorHAnsi"/>
          <w:bCs/>
          <w:sz w:val="28"/>
          <w:szCs w:val="28"/>
          <w:highlight w:val="white"/>
        </w:rPr>
      </w:r>
    </w:p>
    <w:p>
      <w:pPr>
        <w:ind w:firstLine="709"/>
        <w:jc w:val="both"/>
        <w:rPr>
          <w:rFonts w:eastAsiaTheme="minorHAnsi"/>
          <w:bCs/>
          <w:sz w:val="28"/>
          <w:szCs w:val="28"/>
          <w:highlight w:val="white"/>
        </w:rPr>
      </w:pP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д) </w:t>
      </w: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О(</w:t>
      </w: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э) </w:t>
      </w:r>
      <w:r>
        <w:rPr>
          <w:rFonts w:eastAsiaTheme="minorHAnsi"/>
          <w:bCs/>
          <w:sz w:val="28"/>
          <w:szCs w:val="28"/>
          <w:lang w:eastAsia="en-US"/>
        </w:rPr>
        <w:t xml:space="preserve">–</w:t>
      </w: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 представляется оригинал документа в электронной форме;</w:t>
      </w:r>
      <w:r>
        <w:rPr>
          <w:rFonts w:eastAsiaTheme="minorHAnsi"/>
          <w:bCs/>
          <w:sz w:val="28"/>
          <w:szCs w:val="28"/>
          <w:highlight w:val="white"/>
        </w:rPr>
      </w:r>
      <w:r>
        <w:rPr>
          <w:rFonts w:eastAsiaTheme="minorHAnsi"/>
          <w:bCs/>
          <w:sz w:val="28"/>
          <w:szCs w:val="28"/>
          <w:highlight w:val="white"/>
        </w:rPr>
      </w:r>
    </w:p>
    <w:p>
      <w:pPr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е) </w:t>
      </w: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К(</w:t>
      </w: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э) </w:t>
      </w:r>
      <w:r>
        <w:rPr>
          <w:rFonts w:eastAsiaTheme="minorHAnsi"/>
          <w:bCs/>
          <w:sz w:val="28"/>
          <w:szCs w:val="28"/>
          <w:lang w:eastAsia="en-US"/>
        </w:rPr>
        <w:t xml:space="preserve">–</w:t>
      </w:r>
      <w:r>
        <w:rPr>
          <w:rFonts w:eastAsiaTheme="minorHAnsi"/>
          <w:bCs/>
          <w:sz w:val="28"/>
          <w:szCs w:val="28"/>
          <w:highlight w:val="white"/>
          <w:lang w:eastAsia="en-US"/>
        </w:rPr>
        <w:t xml:space="preserve"> представляется копия документа в электронной форме;</w:t>
      </w:r>
      <w:r>
        <w:rPr>
          <w:rFonts w:eastAsiaTheme="minorHAnsi"/>
          <w:sz w:val="28"/>
          <w:szCs w:val="28"/>
          <w:highlight w:val="white"/>
        </w:rPr>
      </w:r>
      <w:r>
        <w:rPr>
          <w:rFonts w:eastAsiaTheme="minorHAnsi"/>
          <w:sz w:val="28"/>
          <w:szCs w:val="28"/>
          <w:highlight w:val="white"/>
        </w:rPr>
      </w:r>
    </w:p>
    <w:p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ж) ПС </w:t>
      </w:r>
      <w:r>
        <w:rPr>
          <w:rFonts w:eastAsiaTheme="minorHAnsi"/>
          <w:bCs/>
          <w:sz w:val="28"/>
          <w:szCs w:val="28"/>
          <w:lang w:eastAsia="en-US"/>
        </w:rPr>
        <w:t xml:space="preserve">–</w:t>
      </w:r>
      <w:r>
        <w:rPr>
          <w:rFonts w:eastAsiaTheme="minorHAnsi"/>
          <w:bCs/>
          <w:sz w:val="28"/>
          <w:szCs w:val="28"/>
          <w:lang w:eastAsia="en-US"/>
        </w:rPr>
        <w:t xml:space="preserve"> документы подаются посредством почтовой связи;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з) ЕПГУ – Единый портал.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II. Идентификаторы категорий (признаков) заявителей</w:t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Таблица № 1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  <w:outlineLvl w:val="0"/>
      </w:pP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tbl>
      <w:tblPr>
        <w:tblW w:w="1026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984"/>
        <w:gridCol w:w="2761"/>
        <w:gridCol w:w="2761"/>
        <w:gridCol w:w="2762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Наименование отдельного </w:t>
            </w:r>
            <w:r>
              <w:rPr>
                <w:rFonts w:eastAsiaTheme="minorHAnsi"/>
                <w:bCs/>
                <w:lang w:eastAsia="en-US"/>
              </w:rPr>
              <w:t xml:space="preserve">признака заявителя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8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Перечень результатов предоставления государственной услуги (цели обращения заявителя)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>
          <w:trHeight w:val="145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61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Решение о размещении сведений на официальном сайте Комитета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61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Решение об отказе в размещении сведений на официальном сайте Комитета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62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Внесение изменений в сведения, размещенные на официальном сайте Комитета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Юридическое лицо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1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1А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1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2А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2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3А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Индивидуальный предприниматель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1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1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2Б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2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</w:tbl>
    <w:p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p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III. Исчерпывающий перечень документов, необходимых</w:t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для предоставления государственной услуги</w:t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p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Таблица № 2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</w:r>
      <w:r>
        <w:rPr>
          <w:rFonts w:eastAsiaTheme="minorHAnsi"/>
          <w:bCs/>
          <w:lang w:eastAsia="en-US"/>
        </w:rPr>
      </w:r>
      <w:r>
        <w:rPr>
          <w:rFonts w:eastAsiaTheme="minorHAnsi"/>
          <w:bCs/>
          <w:lang w:eastAsia="en-US"/>
        </w:rPr>
      </w:r>
    </w:p>
    <w:tbl>
      <w:tblPr>
        <w:tblStyle w:val="100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5"/>
        <w:gridCol w:w="4252"/>
        <w:gridCol w:w="1843"/>
        <w:gridCol w:w="1384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№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Идентификаторы категорий (признаков) заявителей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Перечень необходимых для предоставления государственной услуги документов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Способы подачи документов, требования к представлению документов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Иные требования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gridSpan w:val="5"/>
            <w:tcW w:w="10138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color w:val="auto"/>
                <w:highlight w:val="white"/>
              </w:rPr>
            </w:pPr>
            <w:r>
              <w:rPr>
                <w:rFonts w:eastAsiaTheme="minorHAnsi"/>
                <w:bCs/>
                <w:color w:val="auto"/>
                <w:highlight w:val="white"/>
                <w:lang w:eastAsia="en-US"/>
              </w:rPr>
              <w:t xml:space="preserve">Заявление </w:t>
            </w:r>
            <w:r>
              <w:rPr>
                <w:rFonts w:eastAsiaTheme="minorHAnsi"/>
                <w:bCs/>
                <w:highlight w:val="white"/>
                <w:lang w:eastAsia="en-US"/>
              </w:rPr>
              <w:t xml:space="preserve">о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 xml:space="preserve">размещени</w:t>
            </w:r>
            <w:r>
              <w:rPr>
                <w:rFonts w:eastAsiaTheme="minorHAnsi"/>
                <w:bCs/>
                <w:lang w:eastAsia="en-US"/>
              </w:rPr>
              <w:t xml:space="preserve">и</w:t>
            </w:r>
            <w:r>
              <w:rPr>
                <w:rFonts w:eastAsiaTheme="minorHAnsi"/>
                <w:bCs/>
                <w:lang w:eastAsia="en-US"/>
              </w:rPr>
              <w:t xml:space="preserve"> на официальном </w:t>
            </w:r>
            <w:r>
              <w:rPr>
                <w:rFonts w:eastAsiaTheme="minorHAnsi"/>
                <w:bCs/>
                <w:lang w:eastAsia="en-US"/>
              </w:rPr>
              <w:t xml:space="preserve">сайте</w:t>
            </w:r>
            <w:r>
              <w:rPr>
                <w:rFonts w:eastAsiaTheme="minorHAnsi"/>
                <w:bCs/>
                <w:lang w:eastAsia="en-US"/>
              </w:rPr>
              <w:t xml:space="preserve"> Комитета Ленинградской области по обращению с отходами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 xml:space="preserve">сведений об иных лицах, осуществляющих обеззараживание медицинских отходов, о лицах, осуществляющих оказание услуг по транспортирова</w:t>
            </w:r>
            <w:r>
              <w:rPr>
                <w:rFonts w:eastAsiaTheme="minorHAnsi"/>
                <w:bCs/>
                <w:lang w:eastAsia="en-US"/>
              </w:rPr>
              <w:t xml:space="preserve">нию, обезвреживанию медицинских отходов на территории Ленинградской области</w:t>
            </w:r>
            <w:r/>
            <w:r>
              <w:rPr>
                <w:rFonts w:eastAsiaTheme="minorHAnsi"/>
                <w:bCs/>
                <w:color w:val="auto"/>
                <w:highlight w:val="white"/>
                <w:lang w:eastAsia="en-US"/>
              </w:rPr>
            </w:r>
            <w:r>
              <w:rPr>
                <w:rFonts w:eastAsiaTheme="minorHAnsi"/>
                <w:bCs/>
                <w:color w:val="auto"/>
                <w:highlight w:val="white"/>
                <w:lang w:eastAsia="en-US"/>
              </w:rPr>
              <w:t xml:space="preserve">, в соответствии с образцом № 1 </w:t>
              <w:br/>
              <w:t xml:space="preserve">к</w:t>
            </w:r>
            <w:r>
              <w:rPr>
                <w:rFonts w:eastAsiaTheme="minorHAnsi"/>
                <w:bCs/>
                <w:color w:val="auto"/>
                <w:highlight w:val="white"/>
                <w:lang w:eastAsia="en-US"/>
              </w:rPr>
              <w:t xml:space="preserve"> настоящему регламенту</w:t>
            </w:r>
            <w:r>
              <w:rPr>
                <w:rFonts w:eastAsiaTheme="minorHAnsi"/>
                <w:bCs/>
                <w:color w:val="auto"/>
                <w:highlight w:val="white"/>
              </w:rPr>
            </w:r>
            <w:r>
              <w:rPr>
                <w:rFonts w:eastAsiaTheme="minorHAnsi"/>
                <w:bCs/>
                <w:color w:val="auto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ПС - О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ЕПГУ - </w:t>
            </w:r>
            <w:r>
              <w:rPr>
                <w:rFonts w:eastAsiaTheme="minorHAnsi"/>
                <w:bCs/>
                <w:lang w:eastAsia="en-US"/>
              </w:rPr>
              <w:t xml:space="preserve">О(</w:t>
            </w:r>
            <w:r>
              <w:rPr>
                <w:rFonts w:eastAsiaTheme="minorHAnsi"/>
                <w:bCs/>
                <w:lang w:eastAsia="en-US"/>
              </w:rPr>
              <w:t xml:space="preserve">э)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[Все]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2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Документ, удостоверяющий право (полномочия) представителя индивидуального предпринимателя или юридического лица, если с </w:t>
            </w:r>
            <w:r>
              <w:rPr>
                <w:rFonts w:eastAsiaTheme="minorHAnsi"/>
                <w:bCs/>
                <w:lang w:eastAsia="en-US"/>
              </w:rPr>
              <w:t xml:space="preserve">заявлением обращается представитель заявителя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ПС - О (К)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ЕПГУ - </w:t>
            </w:r>
            <w:r>
              <w:rPr>
                <w:rFonts w:eastAsiaTheme="minorHAnsi"/>
                <w:bCs/>
                <w:lang w:eastAsia="en-US"/>
              </w:rPr>
              <w:t xml:space="preserve">О(</w:t>
            </w:r>
            <w:r>
              <w:rPr>
                <w:rFonts w:eastAsiaTheme="minorHAnsi"/>
                <w:bCs/>
                <w:lang w:eastAsia="en-US"/>
              </w:rPr>
              <w:t xml:space="preserve">э) (К(э))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П(</w:t>
            </w:r>
            <w:r>
              <w:rPr>
                <w:rFonts w:eastAsiaTheme="minorHAnsi"/>
                <w:bCs/>
                <w:lang w:eastAsia="en-US"/>
              </w:rPr>
              <w:t xml:space="preserve">з)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gridSpan w:val="5"/>
            <w:tcW w:w="1013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tcW w:w="5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А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lang w:eastAsia="en-US"/>
              </w:rPr>
              <w:t xml:space="preserve">Выписка из Единого государственного реестра юридических лиц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highlight w:val="none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ПС – К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highlight w:val="none"/>
                <w:lang w:eastAsia="en-US"/>
              </w:rPr>
              <w:t xml:space="preserve">ЕПГУ – О(э) (К(э))</w:t>
            </w:r>
            <w:r>
              <w:rPr>
                <w:rFonts w:eastAsiaTheme="minorHAnsi"/>
                <w:bCs/>
                <w:highlight w:val="none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13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[Все]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tcW w:w="5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4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lang w:eastAsia="en-US"/>
              </w:rPr>
              <w:t xml:space="preserve">Выписка из Единого государственного реестра индивидуальных предпринимателей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highlight w:val="none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ПС – К</w:t>
            </w:r>
            <w:r>
              <w:rPr>
                <w:rFonts w:eastAsiaTheme="minorHAnsi"/>
                <w:highlight w:val="none"/>
                <w:lang w:eastAsia="en-US"/>
              </w:rPr>
            </w:r>
            <w:r>
              <w:rPr>
                <w:rFonts w:eastAsiaTheme="minorHAnsi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highlight w:val="none"/>
                <w:lang w:eastAsia="en-US"/>
              </w:rPr>
              <w:t xml:space="preserve">ЕПГУ – О(э) (К(э))</w:t>
            </w:r>
            <w:r/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3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[Все]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tcW w:w="5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5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Лицензия на деятельность по оказанию услуг по дезинфекции, дезинсекции и дератизации в целях обеспечения санитарно-эпидемиологического благополучия населения при осуществлении деятельности по оказанию услуг по дезинфекции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highlight w:val="none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ПС – К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highlight w:val="none"/>
                <w:lang w:eastAsia="en-US"/>
              </w:rPr>
              <w:t xml:space="preserve">ЕПГУ – К(э)</w:t>
            </w:r>
            <w:r>
              <w:rPr>
                <w:rFonts w:eastAsiaTheme="minorHAnsi"/>
                <w:bCs/>
                <w:highlight w:val="none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13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[Все]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tcW w:w="5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6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Сведения, подтверждающие регистрацию медицинского изделия, предназначенного для обеззараживания, обезвреживания медицинских отходов, в соответствии с частью 4 статьи 38 Федерального закона «Об основах охраны здоровья граждан в Российской Федерации»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highlight w:val="none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ПС – К</w:t>
            </w:r>
            <w:r>
              <w:rPr>
                <w:rFonts w:eastAsiaTheme="minorHAnsi"/>
                <w:highlight w:val="none"/>
                <w:lang w:eastAsia="en-US"/>
              </w:rPr>
            </w:r>
            <w:r>
              <w:rPr>
                <w:rFonts w:eastAsiaTheme="minorHAnsi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highlight w:val="none"/>
                <w:lang w:eastAsia="en-US"/>
              </w:rPr>
              <w:t xml:space="preserve">ЕПГУ – К(э)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3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[Все]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tcW w:w="5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7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используются для осуществления деятельности по сбору, транспортированию, обработке, утилизации, обез</w:t>
            </w:r>
            <w:r>
              <w:rPr>
                <w:rFonts w:eastAsiaTheme="minorHAnsi"/>
                <w:bCs/>
                <w:lang w:eastAsia="en-US"/>
              </w:rPr>
              <w:t xml:space="preserve">вреживанию, размещению отходов I - IV классов опасности (за исключением случаев, если сбор отходов I - IV классов опасности осуществляется не по месту их обработки, и (или) утилизации, и (или) обезвреживания, и (или) размещения),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highlight w:val="none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ПС – К</w:t>
            </w:r>
            <w:r>
              <w:rPr>
                <w:rFonts w:eastAsiaTheme="minorHAnsi"/>
                <w:highlight w:val="none"/>
                <w:lang w:eastAsia="en-US"/>
              </w:rPr>
            </w:r>
            <w:r>
              <w:rPr>
                <w:rFonts w:eastAsiaTheme="minorHAnsi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highlight w:val="none"/>
                <w:lang w:eastAsia="en-US"/>
              </w:rPr>
              <w:t xml:space="preserve">ЕПГУ – К(э)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3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[Все]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tcW w:w="5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8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Комплексное экологическое разрешение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highlight w:val="none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ПС – К</w:t>
            </w:r>
            <w:r>
              <w:rPr>
                <w:rFonts w:eastAsiaTheme="minorHAnsi"/>
                <w:highlight w:val="none"/>
                <w:lang w:eastAsia="en-US"/>
              </w:rPr>
            </w:r>
            <w:r>
              <w:rPr>
                <w:rFonts w:eastAsiaTheme="minorHAnsi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highlight w:val="none"/>
                <w:lang w:eastAsia="en-US"/>
              </w:rPr>
              <w:t xml:space="preserve">ЕПГУ – К(э)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3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[Все]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tcW w:w="5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9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42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Заключение государственной экологической экспертизы на проект технической документации на технологии (технологические процессы, оборудование, технические способы, методы), использование которых может оказать воздействие на окружающую среду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highlight w:val="none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ПС – К</w:t>
            </w:r>
            <w:r>
              <w:rPr>
                <w:rFonts w:eastAsiaTheme="minorHAnsi"/>
                <w:highlight w:val="none"/>
                <w:lang w:eastAsia="en-US"/>
              </w:rPr>
            </w:r>
            <w:r>
              <w:rPr>
                <w:rFonts w:eastAsiaTheme="minorHAnsi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highlight w:val="none"/>
                <w:lang w:eastAsia="en-US"/>
              </w:rPr>
              <w:t xml:space="preserve">ЕПГУ – К(э)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3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[Все]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</w:tbl>
    <w:p>
      <w:pPr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</w:r>
      <w:r>
        <w:rPr>
          <w:rFonts w:eastAsiaTheme="minorHAnsi"/>
          <w:bCs/>
          <w:lang w:eastAsia="en-US"/>
        </w:rPr>
      </w:r>
      <w:r>
        <w:rPr>
          <w:rFonts w:eastAsiaTheme="minorHAnsi"/>
          <w:bCs/>
          <w:lang w:eastAsia="en-US"/>
        </w:rPr>
      </w:r>
    </w:p>
    <w:p>
      <w:pPr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p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IV. Исчерпывающий перечень оснований для отказа в приеме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заявления и документов, необходимых для предоставления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государственной услуги, оснований для приостановления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предоставления государственной услуги или отказа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в предоставлении государственной услуги</w:t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p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Таблица № 3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tbl>
      <w:tblPr>
        <w:tblStyle w:val="1004"/>
        <w:tblW w:w="0" w:type="auto"/>
        <w:tblLook w:val="04A0" w:firstRow="1" w:lastRow="0" w:firstColumn="1" w:lastColumn="0" w:noHBand="0" w:noVBand="1"/>
      </w:tblPr>
      <w:tblGrid>
        <w:gridCol w:w="675"/>
        <w:gridCol w:w="7631"/>
        <w:gridCol w:w="1832"/>
      </w:tblGrid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№</w:t>
            </w:r>
            <w:r>
              <w:rPr>
                <w:rFonts w:eastAsiaTheme="minorHAnsi"/>
                <w:b/>
                <w:bCs/>
                <w:lang w:eastAsia="en-US"/>
              </w:rPr>
            </w:r>
            <w:r>
              <w:rPr>
                <w:rFonts w:eastAsiaTheme="minorHAnsi"/>
                <w:b/>
                <w:bCs/>
                <w:lang w:eastAsia="en-US"/>
              </w:rPr>
            </w:r>
          </w:p>
        </w:tc>
        <w:tc>
          <w:tcPr>
            <w:tcW w:w="7631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Перечень оснований</w:t>
            </w:r>
            <w:r>
              <w:rPr>
                <w:rFonts w:eastAsiaTheme="minorHAnsi"/>
                <w:b/>
                <w:bCs/>
                <w:lang w:eastAsia="en-US"/>
              </w:rPr>
            </w:r>
            <w:r>
              <w:rPr>
                <w:rFonts w:eastAsiaTheme="minorHAnsi"/>
                <w:b/>
                <w:bCs/>
                <w:lang w:eastAsia="en-US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Идентификатор категорий (признаков) заявителей</w:t>
            </w:r>
            <w:r>
              <w:rPr>
                <w:rFonts w:eastAsiaTheme="minorHAnsi"/>
                <w:b/>
                <w:bCs/>
                <w:lang w:eastAsia="en-US"/>
              </w:rPr>
            </w:r>
            <w:r>
              <w:rPr>
                <w:rFonts w:eastAsiaTheme="minorHAnsi"/>
                <w:b/>
                <w:bCs/>
                <w:lang w:eastAsia="en-US"/>
              </w:rPr>
            </w:r>
          </w:p>
        </w:tc>
      </w:tr>
      <w:tr>
        <w:tblPrEx/>
        <w:trPr>
          <w:trHeight w:val="605"/>
        </w:trPr>
        <w:tc>
          <w:tcPr>
            <w:gridSpan w:val="3"/>
            <w:tcW w:w="10138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  <w:r>
              <w:rPr>
                <w:rFonts w:eastAsiaTheme="minorHAnsi"/>
                <w:b/>
                <w:bCs/>
                <w:lang w:eastAsia="en-US"/>
              </w:rPr>
            </w:r>
            <w:r>
              <w:rPr>
                <w:rFonts w:eastAsiaTheme="minorHAnsi"/>
                <w:b/>
                <w:bCs/>
                <w:lang w:eastAsia="en-US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7631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Основания для отказа в приеме заявления и документов, необходимых для предоставления государственной услуги, законодательством Российской Федерации не предусмотрены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/>
                <w:bCs/>
                <w:lang w:eastAsia="en-US"/>
              </w:rPr>
            </w:r>
            <w:r>
              <w:rPr>
                <w:rFonts w:eastAsiaTheme="minorHAnsi"/>
                <w:b/>
                <w:bCs/>
                <w:lang w:eastAsia="en-US"/>
              </w:rPr>
            </w:r>
          </w:p>
        </w:tc>
      </w:tr>
      <w:tr>
        <w:tblPrEx/>
        <w:trPr>
          <w:trHeight w:val="463"/>
        </w:trPr>
        <w:tc>
          <w:tcPr>
            <w:gridSpan w:val="3"/>
            <w:tcW w:w="10138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оснований для приостановления предоставления государственной услуги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</w:tr>
      <w:tr>
        <w:tblPrEx/>
        <w:trPr>
          <w:trHeight w:val="463"/>
        </w:trPr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7631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Основания для приостановления предоставления государственной услуги законодательством Российской Федерации не предусмотрены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</w:tr>
      <w:tr>
        <w:tblPrEx/>
        <w:trPr>
          <w:trHeight w:val="463"/>
        </w:trPr>
        <w:tc>
          <w:tcPr>
            <w:gridSpan w:val="3"/>
            <w:tcW w:w="10138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оснований для отказа в предоставлении государственной услуги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763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Подача заявления и документов лицом, не относящимся к кругу заявителей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3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4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7631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Подача заявления и документов неуполномоченным лицом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183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5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7631" w:type="dxa"/>
            <w:vMerge w:val="restart"/>
            <w:textDirection w:val="lrTb"/>
            <w:noWrap w:val="false"/>
          </w:tcPr>
          <w:p>
            <w:pPr>
              <w:ind w:firstLine="0"/>
              <w:jc w:val="both"/>
              <w:widowControl w:val="off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Заявление на получение государственной услуги оформлено не в соответствии с настоящим Административным регламентом</w:t>
            </w:r>
            <w:r>
              <w:rPr>
                <w:rFonts w:eastAsiaTheme="minorHAnsi"/>
                <w:sz w:val="28"/>
                <w:szCs w:val="28"/>
              </w:rPr>
            </w:r>
            <w:r>
              <w:rPr>
                <w:rFonts w:eastAsiaTheme="minorHAnsi"/>
                <w:sz w:val="28"/>
                <w:szCs w:val="28"/>
              </w:rPr>
            </w:r>
          </w:p>
        </w:tc>
        <w:tc>
          <w:tcPr>
            <w:tcW w:w="183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6</w:t>
            </w:r>
            <w:r>
              <w:rPr>
                <w:rFonts w:eastAsiaTheme="minorHAnsi"/>
                <w:bCs/>
                <w:lang w:eastAsia="en-US"/>
              </w:rPr>
            </w:r>
            <w:r>
              <w:rPr>
                <w:rFonts w:eastAsiaTheme="minorHAnsi"/>
                <w:bCs/>
                <w:lang w:eastAsia="en-US"/>
              </w:rPr>
            </w:r>
          </w:p>
        </w:tc>
        <w:tc>
          <w:tcPr>
            <w:tcW w:w="7631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strike w:val="0"/>
                <w:highlight w:val="white"/>
              </w:rPr>
            </w:pPr>
            <w:r>
              <w:rPr>
                <w:rFonts w:eastAsiaTheme="minorHAnsi"/>
                <w:bCs/>
                <w:strike w:val="0"/>
                <w:highlight w:val="white"/>
                <w:lang w:eastAsia="en-US"/>
              </w:rPr>
              <w:t xml:space="preserve">Несоответствие представленных сведений перечню, указанному в Правилах размещения на официальном сайте уполномоченного исполнительного органа субъекта Российской Федерации сведений об иных лицах, осуществляющих обезз</w:t>
            </w:r>
            <w:r>
              <w:rPr>
                <w:rFonts w:eastAsiaTheme="minorHAnsi"/>
                <w:bCs/>
                <w:strike w:val="0"/>
                <w:highlight w:val="white"/>
                <w:lang w:eastAsia="en-US"/>
              </w:rPr>
              <w:t xml:space="preserve">араживание медицинских отходов, о лицах, осуществляющих оказание услуг по транспортированию, обезвреживанию медицинских отходов на территории субъекта Российской Федерации, утвержденному постановлением Правительства Российской Федерации от 28.03.2026 № 339</w:t>
            </w:r>
            <w:r>
              <w:rPr>
                <w:rFonts w:eastAsiaTheme="minorHAnsi"/>
                <w:bCs/>
                <w:strike w:val="0"/>
                <w:highlight w:val="white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trike w:val="0"/>
                <w:highlight w:val="white"/>
              </w:rPr>
            </w:r>
            <w:r>
              <w:rPr>
                <w:rFonts w:eastAsiaTheme="minorHAnsi"/>
                <w:bCs/>
                <w:strike w:val="0"/>
                <w:highlight w:val="white"/>
              </w:rPr>
            </w:r>
          </w:p>
        </w:tc>
        <w:tc>
          <w:tcPr>
            <w:tcW w:w="1832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А, Б</w:t>
            </w:r>
            <w:r>
              <w:rPr>
                <w:rFonts w:eastAsiaTheme="minorHAnsi"/>
                <w:b/>
                <w:bCs/>
                <w:lang w:eastAsia="en-US"/>
              </w:rPr>
            </w:r>
            <w:r>
              <w:rPr>
                <w:rFonts w:eastAsiaTheme="minorHAnsi"/>
                <w:b/>
                <w:bCs/>
                <w:lang w:eastAsia="en-US"/>
              </w:rPr>
            </w:r>
          </w:p>
        </w:tc>
      </w:tr>
    </w:tbl>
    <w:p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p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V. Формы заявления и документов, необходимых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для предоставления государственной услуги</w:t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right"/>
        <w:rPr>
          <w:rFonts w:eastAsiaTheme="minorHAnsi"/>
          <w:bCs/>
          <w:sz w:val="28"/>
          <w:szCs w:val="28"/>
          <w:lang w:eastAsia="en-US"/>
        </w:rPr>
        <w:outlineLvl w:val="0"/>
      </w:pPr>
      <w:r>
        <w:rPr>
          <w:rFonts w:eastAsiaTheme="minorHAnsi"/>
          <w:bCs/>
          <w:sz w:val="28"/>
          <w:szCs w:val="28"/>
          <w:lang w:eastAsia="en-US"/>
        </w:rPr>
        <w:t xml:space="preserve">Образец № 1</w:t>
      </w:r>
      <w:r>
        <w:rPr>
          <w:rFonts w:eastAsiaTheme="minorHAnsi"/>
          <w:bCs/>
          <w:sz w:val="28"/>
          <w:szCs w:val="28"/>
          <w:lang w:eastAsia="en-US"/>
        </w:rPr>
      </w:r>
      <w:r>
        <w:rPr>
          <w:rFonts w:eastAsiaTheme="minorHAnsi"/>
          <w:bCs/>
          <w:sz w:val="28"/>
          <w:szCs w:val="28"/>
          <w:lang w:eastAsia="en-US"/>
        </w:rPr>
      </w:r>
    </w:p>
    <w:p>
      <w:pPr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  <w:r>
        <w:rPr>
          <w:rFonts w:eastAsiaTheme="minorHAnsi"/>
          <w:b/>
          <w:bCs/>
          <w:sz w:val="28"/>
          <w:szCs w:val="28"/>
          <w:lang w:eastAsia="en-US"/>
        </w:rPr>
      </w:r>
    </w:p>
    <w:p>
      <w:pPr>
        <w:jc w:val="center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Форма заявления при обращении за предоставлением</w:t>
      </w:r>
      <w:r>
        <w:rPr>
          <w:rFonts w:eastAsiaTheme="minorHAnsi"/>
          <w:bCs/>
          <w:sz w:val="24"/>
          <w:szCs w:val="24"/>
        </w:rPr>
      </w:r>
      <w:r>
        <w:rPr>
          <w:rFonts w:eastAsiaTheme="minorHAnsi"/>
          <w:bCs/>
          <w:sz w:val="24"/>
          <w:szCs w:val="24"/>
        </w:rPr>
      </w:r>
    </w:p>
    <w:p>
      <w:pPr>
        <w:jc w:val="center"/>
        <w:rPr>
          <w:rFonts w:eastAsiaTheme="minorHAnsi"/>
          <w:bCs/>
          <w:sz w:val="20"/>
          <w:szCs w:val="20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государственной услуги</w:t>
      </w:r>
      <w:r>
        <w:rPr>
          <w:rFonts w:eastAsiaTheme="minorHAnsi"/>
          <w:bCs/>
          <w:sz w:val="20"/>
          <w:szCs w:val="20"/>
          <w:lang w:eastAsia="en-US"/>
        </w:rPr>
      </w:r>
      <w:r>
        <w:rPr>
          <w:rFonts w:eastAsiaTheme="minorHAnsi"/>
          <w:bCs/>
          <w:sz w:val="20"/>
          <w:szCs w:val="20"/>
          <w:lang w:eastAsia="en-US"/>
        </w:rPr>
      </w:r>
    </w:p>
    <w:p>
      <w:pPr>
        <w:ind w:firstLine="540"/>
        <w:jc w:val="both"/>
        <w:rPr>
          <w:rFonts w:eastAsiaTheme="minorHAnsi"/>
          <w:bCs/>
          <w:sz w:val="20"/>
          <w:szCs w:val="20"/>
          <w:lang w:eastAsia="en-US"/>
        </w:rPr>
      </w:pPr>
      <w:r>
        <w:rPr>
          <w:rFonts w:eastAsiaTheme="minorHAnsi"/>
          <w:bCs/>
          <w:sz w:val="20"/>
          <w:szCs w:val="20"/>
          <w:lang w:eastAsia="en-US"/>
        </w:rPr>
      </w:r>
      <w:r>
        <w:rPr>
          <w:rFonts w:eastAsiaTheme="minorHAnsi"/>
          <w:bCs/>
          <w:sz w:val="20"/>
          <w:szCs w:val="20"/>
          <w:lang w:eastAsia="en-US"/>
        </w:rPr>
      </w:r>
      <w:r>
        <w:rPr>
          <w:rFonts w:eastAsiaTheme="minorHAnsi"/>
          <w:bCs/>
          <w:sz w:val="20"/>
          <w:szCs w:val="20"/>
          <w:lang w:eastAsia="en-US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126"/>
        <w:gridCol w:w="1843"/>
        <w:gridCol w:w="840"/>
        <w:gridCol w:w="4262"/>
      </w:tblGrid>
      <w:tr>
        <w:tblPrEx/>
        <w:trPr/>
        <w:tc>
          <w:tcPr>
            <w:gridSpan w:val="2"/>
            <w:tcW w:w="3969" w:type="dxa"/>
            <w:textDirection w:val="lrTb"/>
            <w:noWrap w:val="false"/>
          </w:tcPr>
          <w:p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</w:p>
        </w:tc>
        <w:tc>
          <w:tcPr>
            <w:gridSpan w:val="2"/>
            <w:tcW w:w="5102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В Комитет Ленинградской области 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по обращению с отходами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от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_______________________________________________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(наименование юридического лица, 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Ф.И.О. индивидуального предпринимателя)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ОГРН (ОГРНИП):_________________________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Адрес местонахождения (регистрации):_______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_________________________________________________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highlight w:val="none"/>
                <w:lang w:eastAsia="en-US"/>
              </w:rPr>
              <w:t xml:space="preserve">Осуществляемые виды деятельности по обращению с медицинскими отходами:_______</w:t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  <w:r>
              <w:rPr>
                <w:rFonts w:eastAsiaTheme="minorHAnsi"/>
                <w:sz w:val="24"/>
                <w:szCs w:val="24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0"/>
                <w:szCs w:val="20"/>
                <w:highlight w:val="none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highlight w:val="none"/>
                <w:lang w:eastAsia="en-US"/>
              </w:rPr>
              <w:t xml:space="preserve">_________________________________________________</w:t>
            </w:r>
            <w:r>
              <w:rPr>
                <w:rFonts w:eastAsiaTheme="minorHAnsi"/>
                <w:sz w:val="20"/>
                <w:szCs w:val="20"/>
                <w:highlight w:val="none"/>
                <w:lang w:eastAsia="en-US"/>
              </w:rPr>
            </w:r>
            <w:r>
              <w:rPr>
                <w:rFonts w:eastAsiaTheme="minorHAnsi"/>
                <w:sz w:val="20"/>
                <w:szCs w:val="20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Данные для связи с заявителем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:______________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______________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___________________________</w:t>
            </w:r>
            <w:r>
              <w:rPr>
                <w:rFonts w:eastAsiaTheme="minorHAnsi"/>
                <w:sz w:val="24"/>
                <w:szCs w:val="24"/>
              </w:rPr>
            </w:r>
            <w:r>
              <w:rPr>
                <w:rFonts w:eastAsiaTheme="minorHAnsi"/>
                <w:sz w:val="24"/>
                <w:szCs w:val="24"/>
              </w:rPr>
            </w:r>
          </w:p>
          <w:p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(указываются адрес электронной почты, 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контактный телефон, почтовый адрес)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gridSpan w:val="4"/>
            <w:tcW w:w="9071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ЗАЯВЛЕНИЕ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 xml:space="preserve">о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 xml:space="preserve">размещени</w:t>
            </w:r>
            <w:r>
              <w:rPr>
                <w:rFonts w:eastAsiaTheme="minorHAnsi"/>
                <w:bCs/>
                <w:lang w:eastAsia="en-US"/>
              </w:rPr>
              <w:t xml:space="preserve">и</w:t>
            </w:r>
            <w:r>
              <w:rPr>
                <w:rFonts w:eastAsiaTheme="minorHAnsi"/>
                <w:bCs/>
                <w:lang w:eastAsia="en-US"/>
              </w:rPr>
              <w:t xml:space="preserve"> на официальном </w:t>
            </w:r>
            <w:r>
              <w:rPr>
                <w:rFonts w:eastAsiaTheme="minorHAnsi"/>
                <w:bCs/>
                <w:lang w:eastAsia="en-US"/>
              </w:rPr>
              <w:t xml:space="preserve">сайте</w:t>
            </w:r>
            <w:r>
              <w:rPr>
                <w:rFonts w:eastAsiaTheme="minorHAnsi"/>
                <w:bCs/>
                <w:lang w:eastAsia="en-US"/>
              </w:rPr>
              <w:t xml:space="preserve"> Комитета Ленинградской области по обращению с отходами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 xml:space="preserve">сведений об иных лицах, осуществляющих обеззараживание медицинских отходов, о лицах, осуществляющих оказание услуг по транспортирова</w:t>
            </w:r>
            <w:r>
              <w:rPr>
                <w:rFonts w:eastAsiaTheme="minorHAnsi"/>
                <w:bCs/>
                <w:lang w:eastAsia="en-US"/>
              </w:rPr>
              <w:t xml:space="preserve">нию, обезвреживанию медицинских отходов на территории Ленинградской области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gridSpan w:val="4"/>
            <w:tcW w:w="9071" w:type="dxa"/>
            <w:textDirection w:val="lrTb"/>
            <w:noWrap w:val="false"/>
          </w:tcPr>
          <w:p>
            <w:pPr>
              <w:ind w:firstLine="567"/>
              <w:jc w:val="both"/>
              <w:rPr>
                <w:rFonts w:eastAsiaTheme="minorHAnsi"/>
                <w:bCs/>
                <w:strike/>
                <w:lang w:eastAsia="en-US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 xml:space="preserve">Прошу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разместить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 на официальном сайте Комитета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Ленинградской области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по обращению с отходами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следующие сведения /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внести изменения в размещенные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на официальном сайте Комитета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Ленинградской области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по обращению с отходами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с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в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е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д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е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н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и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я</w:t>
            </w:r>
            <w:r>
              <w:rPr>
                <w:rFonts w:eastAsiaTheme="minorHAnsi"/>
                <w:bCs/>
                <w:highlight w:val="white"/>
                <w:u w:val="single"/>
                <w:lang w:eastAsia="en-US"/>
              </w:rPr>
              <w:t xml:space="preserve"> (требуется указать нужное)</w:t>
            </w:r>
            <w:r>
              <w:rPr>
                <w:rFonts w:eastAsiaTheme="minorHAnsi"/>
                <w:bCs/>
                <w:highlight w:val="white"/>
                <w:lang w:eastAsia="en-US"/>
              </w:rPr>
              <w:t xml:space="preserve"> об иных лицах, осуществляющих обеззараживание медицинских отходов, о лицах, осуществляющих оказание услуг по транспортирова</w:t>
            </w:r>
            <w:r>
              <w:rPr>
                <w:rFonts w:eastAsiaTheme="minorHAnsi"/>
                <w:bCs/>
                <w:highlight w:val="white"/>
                <w:lang w:eastAsia="en-US"/>
              </w:rPr>
              <w:t xml:space="preserve">нию, обезвреживанию медицинских отходов на территории Ленинградской области</w:t>
            </w:r>
            <w:r>
              <w:rPr>
                <w:rFonts w:eastAsiaTheme="minorHAnsi"/>
                <w:bCs/>
                <w:strike w:val="0"/>
                <w:highlight w:val="white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trike w:val="0"/>
                <w:highlight w:val="white"/>
                <w:lang w:eastAsia="en-US"/>
              </w:rPr>
              <w:t xml:space="preserve">в соответствии с Правилами, утвержденными</w:t>
            </w:r>
            <w:r>
              <w:rPr>
                <w:rFonts w:eastAsiaTheme="minorHAnsi"/>
                <w:bCs/>
                <w:strike w:val="0"/>
                <w:highlight w:val="white"/>
                <w:lang w:eastAsia="en-US"/>
              </w:rPr>
              <w:t xml:space="preserve"> постановлением Правительства Российской Федерации от 28.03.2026 № 339:</w:t>
            </w:r>
            <w:r>
              <w:rPr>
                <w:rFonts w:eastAsiaTheme="minorHAnsi"/>
                <w:bCs/>
                <w:strike/>
                <w:lang w:eastAsia="en-US"/>
              </w:rPr>
            </w:r>
            <w:r>
              <w:rPr>
                <w:rFonts w:eastAsiaTheme="minorHAnsi"/>
                <w:bCs/>
                <w:strike/>
                <w:lang w:eastAsia="en-US"/>
              </w:rPr>
            </w:r>
          </w:p>
          <w:p>
            <w:pPr>
              <w:ind w:firstLine="540"/>
              <w:jc w:val="center"/>
              <w:spacing w:before="170" w:line="288" w:lineRule="atLeas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1.____________________________________________________________________(полное наименование юридического лица и (или) фамилия, имя, отчество (при наличии) индивидуального предпринимателя, осуществляющего оказание услуг)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540"/>
              <w:jc w:val="center"/>
              <w:spacing w:before="17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2.____________________________________________________________________ (адрес юридического лица в пределах места нахождения юридического лица или </w:t>
              <w:br/>
              <w:t xml:space="preserve">адрес регистрации по месту жительства индивидуального предпринимателя)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3.____________________________________________________________________ (наименование субъекта Росс</w:t>
            </w:r>
            <w:r>
              <w:rPr>
                <w:color w:val="000000"/>
              </w:rPr>
              <w:t xml:space="preserve">ийской Федерации, наименование населенного пункта (для республик, краев, областей, автономных округов, автономной области), на территории которого осуществляется деятельность по обеззараживанию, транспортированию, обезвреживанию медицинских отходов, в том </w:t>
            </w:r>
            <w:r>
              <w:rPr>
                <w:color w:val="000000"/>
              </w:rPr>
              <w:t xml:space="preserve">числе</w:t>
            </w:r>
            <w:r>
              <w:rPr>
                <w:color w:val="000000"/>
              </w:rPr>
              <w:t xml:space="preserve"> на территории которого находятся объекты, на которых осуществляется обеззараживание, обезвреживание медицинских отходов)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4.____________________________________________________________________ (телефон, адрес электронной почты, адрес официального сайта в информационно-телекоммуникационной сети «Интернет») (при наличии)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5._____________________</w:t>
            </w:r>
            <w:r>
              <w:rPr>
                <w:color w:val="000000"/>
              </w:rPr>
              <w:t xml:space="preserve">_______________________________________________ (основной государственный регистрационный номер (ОГРН) (для юридического лица) или основной государственный регистрационный номер индивидуального предпринимателя (ОГРНИП) (для индивидуального предпринимателя)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6.____________________________________________________________________ (реквизиты лицензии на деятельно</w:t>
            </w:r>
            <w:r>
              <w:rPr>
                <w:color w:val="000000"/>
              </w:rPr>
              <w:t xml:space="preserve">сть по оказанию услуг по дезинфекции, дезинсекции и дератизации в целях обеспечения санитарно-эпидемиологического благополучия населения при осуществлении деятельности по оказанию услуг по дезинфекции, наименование органа, выдавшего лицензию) (при наличии)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7.____________________________________________________________________ (сведения, подтверждающие регистрацию медицинского изделия, предназначенного для обеззараживания, обезвреживания медицинских отходов, в соответствии с </w:t>
            </w:r>
            <w:r>
              <w:t xml:space="preserve">частью 4 статьи 38</w:t>
            </w:r>
            <w:r>
              <w:rPr>
                <w:color w:val="000000"/>
              </w:rPr>
              <w:t xml:space="preserve"> Федерального закона «Об основах охраны здоровья граждан в Российской Федерации») (при наличии)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8.____________________________________________________________________(реквизиты санитарно-эпидемиологического за</w:t>
            </w:r>
            <w:r>
              <w:rPr>
                <w:color w:val="000000"/>
              </w:rPr>
              <w:t xml:space="preserve">ключения о соответствии санитарным правилам зданий, строений, сооружений, помещений, оборудования и иного имущества, которые используются для осуществления деятельности по сбору, транспортированию, обработке, утилизации, обезвреживанию, размещению отходов </w:t>
            </w:r>
            <w:r>
              <w:rPr>
                <w:color w:val="000000"/>
              </w:rPr>
              <w:br/>
              <w:t xml:space="preserve">I - IV классов опасности (за исключением случаев, если сбор отходов I - IV классов опасности осуществляется не по месту их обработки, и (или) утилизации, и (или) обезвреживания, и (или) размещения), наименование органа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выдавшего</w:t>
            </w:r>
            <w:r>
              <w:rPr>
                <w:color w:val="000000"/>
              </w:rPr>
              <w:t xml:space="preserve"> санитарно-эпидемиологическое заключение) (при наличии)</w:t>
            </w:r>
            <w:r/>
          </w:p>
          <w:p>
            <w:pPr>
              <w:ind w:firstLine="540"/>
              <w:jc w:val="center"/>
              <w:spacing w:before="168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9.____________________________________________________________________ (реквизиты комплексного экологического разрешения, наименование органа, выдавшего комплексное экологическое разрешение, и срок его действия) </w:t>
            </w:r>
            <w:r>
              <w:rPr>
                <w:color w:val="000000"/>
              </w:rPr>
              <w:br/>
              <w:t xml:space="preserve">(при наличии)</w:t>
            </w:r>
            <w:r/>
          </w:p>
          <w:p>
            <w:pPr>
              <w:ind w:firstLine="540"/>
              <w:jc w:val="center"/>
              <w:spacing w:before="168" w:line="288" w:lineRule="atLeast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10.___________________________________________________________________ (реквизиты заключения государственной экологической </w:t>
            </w:r>
            <w:r>
              <w:rPr>
                <w:color w:val="000000"/>
              </w:rPr>
              <w:t xml:space="preserve">экспертизы на проект технической документации на технологии (технологические процессы, оборудование, технические способы, методы), использование которых может оказать воздействие на окружающую среду, наименование органа, выдавшего заключение) (при наличии)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540"/>
              <w:jc w:val="center"/>
              <w:spacing w:before="168" w:line="288" w:lineRule="atLeast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highlight w:val="none"/>
              </w:rPr>
              <w:t xml:space="preserve">11.___________________________________________________________________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540"/>
              <w:jc w:val="center"/>
              <w:spacing w:before="0" w:beforeAutospacing="0" w:line="288" w:lineRule="atLeast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highlight w:val="none"/>
              </w:rPr>
              <w:t xml:space="preserve">(сведения </w:t>
            </w:r>
            <w:r>
              <w:rPr>
                <w:color w:val="000000"/>
                <w:highlight w:val="none"/>
              </w:rPr>
              <w:t xml:space="preserve">об окончании/возобновлении оказания услуг по обеззараживанию, транспортированию, обезвреживанию медицинских отходов) </w:t>
              <w:br/>
            </w:r>
            <w:r>
              <w:rPr>
                <w:color w:val="000000"/>
                <w:highlight w:val="none"/>
              </w:rPr>
              <w:t xml:space="preserve">(в случае возникновения таких оснований)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567"/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</w:p>
          <w:p>
            <w:pPr>
              <w:ind w:firstLine="283"/>
              <w:jc w:val="both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Подтверждаю подлинность и достоверность представленных сведений и документов.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ind w:firstLine="283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ind w:firstLine="283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Документы, прилагаемые к заявлению:</w:t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</w:p>
          <w:p>
            <w:pPr>
              <w:jc w:val="both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1. ________________________________________________________________________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both"/>
              <w:rPr>
                <w:rFonts w:eastAsiaTheme="minorHAnsi"/>
                <w:highlight w:val="none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2. ________________________________________________________________________</w:t>
            </w:r>
            <w:r>
              <w:rPr>
                <w:rFonts w:eastAsiaTheme="minorHAnsi"/>
                <w:highlight w:val="none"/>
                <w:lang w:eastAsia="en-US"/>
              </w:rPr>
            </w:r>
            <w:r>
              <w:rPr>
                <w:rFonts w:eastAsiaTheme="minorHAnsi"/>
                <w:highlight w:val="none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highlight w:val="none"/>
                <w:lang w:eastAsia="en-US"/>
              </w:rPr>
              <w:t xml:space="preserve">3 ...</w:t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  <w:r>
              <w:rPr>
                <w:rFonts w:eastAsiaTheme="minorHAnsi"/>
                <w:sz w:val="32"/>
                <w:szCs w:val="32"/>
                <w:lang w:eastAsia="en-US"/>
              </w:rPr>
            </w:r>
          </w:p>
        </w:tc>
      </w:tr>
      <w:tr>
        <w:tblPrEx/>
        <w:trPr/>
        <w:tc>
          <w:tcPr>
            <w:tcW w:w="212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________________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(дата)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</w:tc>
        <w:tc>
          <w:tcPr>
            <w:gridSpan w:val="2"/>
            <w:tcW w:w="2683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___________________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(подпись)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                                  М.П.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</w:tc>
        <w:tc>
          <w:tcPr>
            <w:tcW w:w="4262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_________________________________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  <w:p>
            <w:pPr>
              <w:jc w:val="center"/>
              <w:rPr>
                <w:rFonts w:eastAsiaTheme="minorHAnsi"/>
                <w:bCs/>
                <w:sz w:val="32"/>
                <w:szCs w:val="32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(расшифровка подписи)</w:t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  <w:r>
              <w:rPr>
                <w:rFonts w:eastAsiaTheme="minorHAnsi"/>
                <w:bCs/>
                <w:sz w:val="32"/>
                <w:szCs w:val="32"/>
                <w:lang w:eastAsia="en-US"/>
              </w:rPr>
            </w:r>
          </w:p>
        </w:tc>
      </w:tr>
    </w:tbl>
    <w:p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p>
      <w:pPr>
        <w:pStyle w:val="9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 рассмотрения заявления прошу: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97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>
        <w:tblPrEx/>
        <w:trPr/>
        <w:tc>
          <w:tcPr>
            <w:shd w:val="clear" w:color="auto" w:fill="auto"/>
            <w:tcBorders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по электронной почте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почтовой связью (в связи с отсутствием доступа к электронным средствам связи)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98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9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в электронной форме в личный кабинет на Едином портале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after="200" w:line="276" w:lineRule="auto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  <w:r>
        <w:rPr>
          <w:rFonts w:eastAsiaTheme="minorHAnsi"/>
          <w:b/>
          <w:bCs/>
          <w:lang w:eastAsia="en-US"/>
        </w:rPr>
      </w:r>
    </w:p>
    <w:p>
      <w:pPr>
        <w:ind w:firstLine="709"/>
        <w:jc w:val="right"/>
        <w:widowControl w:val="off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sectPr>
      <w:headerReference w:type="even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850" w:right="567" w:bottom="850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Symbol">
    <w:panose1 w:val="05010000000000000000"/>
  </w:font>
  <w:font w:name="Calibri">
    <w:panose1 w:val="020F0502020204030204"/>
  </w:font>
  <w:font w:name="Verdana">
    <w:panose1 w:val="020B0604030504040204"/>
  </w:font>
  <w:font w:name="Arial">
    <w:panose1 w:val="020B0604020202020204"/>
  </w:font>
  <w:font w:name="Courier New">
    <w:panose1 w:val="020703090202050204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Tahoma">
    <w:panose1 w:val="020B060403050404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5"/>
      <w:rPr>
        <w:rStyle w:val="982"/>
      </w:rPr>
      <w:framePr w:wrap="around" w:vAnchor="text" w:hAnchor="margin" w:xAlign="right" w:y="1"/>
    </w:pPr>
    <w:r>
      <w:rPr>
        <w:rStyle w:val="982"/>
      </w:rPr>
      <w:fldChar w:fldCharType="begin"/>
    </w:r>
    <w:r>
      <w:rPr>
        <w:rStyle w:val="982"/>
      </w:rPr>
      <w:instrText xml:space="preserve">PAGE  </w:instrText>
    </w:r>
    <w:r>
      <w:rPr>
        <w:rStyle w:val="982"/>
      </w:rPr>
      <w:fldChar w:fldCharType="separate"/>
    </w:r>
    <w:r>
      <w:rPr>
        <w:rStyle w:val="982"/>
      </w:rPr>
      <w:t xml:space="preserve">2</w:t>
    </w:r>
    <w:r>
      <w:rPr>
        <w:rStyle w:val="982"/>
      </w:rPr>
      <w:fldChar w:fldCharType="end"/>
    </w:r>
    <w:r>
      <w:rPr>
        <w:rStyle w:val="982"/>
      </w:rPr>
    </w:r>
    <w:r>
      <w:rPr>
        <w:rStyle w:val="982"/>
      </w:rPr>
    </w:r>
  </w:p>
  <w:p>
    <w:pPr>
      <w:pStyle w:val="975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  <w:tabs>
          <w:tab w:val="num" w:pos="54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980" w:hanging="18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40" w:hanging="18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00" w:hanging="180"/>
        <w:tabs>
          <w:tab w:val="num" w:pos="630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72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ascii="Calibri" w:hAnsi="Calibri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680"/>
        <w:tabs>
          <w:tab w:val="num" w:pos="6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</w:pPr>
      <w:rPr>
        <w:rFonts w:hint="default" w:ascii="Segoe UI" w:hAnsi="Segoe UI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0">
    <w:multiLevelType w:val="hybridMultilevel"/>
    <w:lvl w:ilvl="0">
      <w:start w:val="25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680"/>
        <w:tabs>
          <w:tab w:val="num" w:pos="6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804" w:hanging="109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12"/>
  </w:num>
  <w:num w:numId="2">
    <w:abstractNumId w:val="2"/>
  </w:num>
  <w:num w:numId="3">
    <w:abstractNumId w:val="42"/>
  </w:num>
  <w:num w:numId="4">
    <w:abstractNumId w:val="20"/>
  </w:num>
  <w:num w:numId="5">
    <w:abstractNumId w:val="43"/>
  </w:num>
  <w:num w:numId="6">
    <w:abstractNumId w:val="4"/>
  </w:num>
  <w:num w:numId="7">
    <w:abstractNumId w:val="33"/>
  </w:num>
  <w:num w:numId="8">
    <w:abstractNumId w:val="17"/>
  </w:num>
  <w:num w:numId="9">
    <w:abstractNumId w:val="13"/>
  </w:num>
  <w:num w:numId="10">
    <w:abstractNumId w:val="29"/>
  </w:num>
  <w:num w:numId="11">
    <w:abstractNumId w:val="5"/>
  </w:num>
  <w:num w:numId="12">
    <w:abstractNumId w:val="39"/>
  </w:num>
  <w:num w:numId="13">
    <w:abstractNumId w:val="27"/>
  </w:num>
  <w:num w:numId="14">
    <w:abstractNumId w:val="22"/>
  </w:num>
  <w:num w:numId="15">
    <w:abstractNumId w:val="21"/>
  </w:num>
  <w:num w:numId="16">
    <w:abstractNumId w:val="14"/>
  </w:num>
  <w:num w:numId="17">
    <w:abstractNumId w:val="41"/>
  </w:num>
  <w:num w:numId="18">
    <w:abstractNumId w:val="23"/>
  </w:num>
  <w:num w:numId="19">
    <w:abstractNumId w:val="11"/>
  </w:num>
  <w:num w:numId="20">
    <w:abstractNumId w:val="15"/>
  </w:num>
  <w:num w:numId="21">
    <w:abstractNumId w:val="8"/>
  </w:num>
  <w:num w:numId="22">
    <w:abstractNumId w:val="16"/>
  </w:num>
  <w:num w:numId="23">
    <w:abstractNumId w:val="18"/>
  </w:num>
  <w:num w:numId="24">
    <w:abstractNumId w:val="34"/>
  </w:num>
  <w:num w:numId="25">
    <w:abstractNumId w:val="6"/>
  </w:num>
  <w:num w:numId="26">
    <w:abstractNumId w:val="25"/>
  </w:num>
  <w:num w:numId="27">
    <w:abstractNumId w:val="1"/>
  </w:num>
  <w:num w:numId="28">
    <w:abstractNumId w:val="32"/>
  </w:num>
  <w:num w:numId="29">
    <w:abstractNumId w:val="9"/>
  </w:num>
  <w:num w:numId="30">
    <w:abstractNumId w:val="38"/>
  </w:num>
  <w:num w:numId="31">
    <w:abstractNumId w:val="26"/>
  </w:num>
  <w:num w:numId="32">
    <w:abstractNumId w:val="36"/>
  </w:num>
  <w:num w:numId="33">
    <w:abstractNumId w:val="24"/>
  </w:num>
  <w:num w:numId="34">
    <w:abstractNumId w:val="10"/>
  </w:num>
  <w:num w:numId="35">
    <w:abstractNumId w:val="40"/>
  </w:num>
  <w:num w:numId="36">
    <w:abstractNumId w:val="7"/>
  </w:num>
  <w:num w:numId="37">
    <w:abstractNumId w:val="31"/>
  </w:num>
  <w:num w:numId="38">
    <w:abstractNumId w:val="35"/>
  </w:num>
  <w:num w:numId="39">
    <w:abstractNumId w:val="3"/>
  </w:num>
  <w:num w:numId="40">
    <w:abstractNumId w:val="37"/>
  </w:num>
  <w:num w:numId="41">
    <w:abstractNumId w:val="28"/>
  </w:num>
  <w:num w:numId="42">
    <w:abstractNumId w:val="19"/>
  </w:num>
  <w:num w:numId="43">
    <w:abstractNumId w:val="30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84">
    <w:name w:val="Heading 1"/>
    <w:basedOn w:val="783"/>
    <w:next w:val="783"/>
    <w:link w:val="968"/>
    <w:qFormat/>
    <w:pPr>
      <w:jc w:val="center"/>
      <w:keepNext/>
      <w:spacing w:line="360" w:lineRule="auto"/>
      <w:outlineLvl w:val="0"/>
    </w:pPr>
    <w:rPr>
      <w:rFonts w:ascii="Tahoma" w:hAnsi="Tahoma"/>
      <w:b/>
      <w:sz w:val="28"/>
      <w:szCs w:val="20"/>
    </w:rPr>
  </w:style>
  <w:style w:type="paragraph" w:styleId="785">
    <w:name w:val="Heading 2"/>
    <w:basedOn w:val="783"/>
    <w:next w:val="783"/>
    <w:link w:val="96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86">
    <w:name w:val="Heading 3"/>
    <w:basedOn w:val="783"/>
    <w:next w:val="783"/>
    <w:link w:val="97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87">
    <w:name w:val="Heading 4"/>
    <w:basedOn w:val="783"/>
    <w:next w:val="783"/>
    <w:link w:val="81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88">
    <w:name w:val="Heading 5"/>
    <w:basedOn w:val="783"/>
    <w:next w:val="783"/>
    <w:link w:val="81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789">
    <w:name w:val="Heading 6"/>
    <w:basedOn w:val="783"/>
    <w:next w:val="783"/>
    <w:link w:val="81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90">
    <w:name w:val="Heading 7"/>
    <w:basedOn w:val="783"/>
    <w:next w:val="783"/>
    <w:link w:val="81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91">
    <w:name w:val="Heading 8"/>
    <w:basedOn w:val="783"/>
    <w:next w:val="783"/>
    <w:link w:val="8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92">
    <w:name w:val="Heading 9"/>
    <w:basedOn w:val="783"/>
    <w:next w:val="783"/>
    <w:link w:val="81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93" w:default="1">
    <w:name w:val="Default Paragraph Font"/>
    <w:uiPriority w:val="1"/>
    <w:semiHidden/>
    <w:unhideWhenUsed/>
  </w:style>
  <w:style w:type="table" w:styleId="7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5" w:default="1">
    <w:name w:val="No List"/>
    <w:uiPriority w:val="99"/>
    <w:semiHidden/>
    <w:unhideWhenUsed/>
  </w:style>
  <w:style w:type="character" w:styleId="796" w:customStyle="1">
    <w:name w:val="Heading 4 Char"/>
    <w:basedOn w:val="7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97" w:customStyle="1">
    <w:name w:val="Heading 5 Char"/>
    <w:basedOn w:val="79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98" w:customStyle="1">
    <w:name w:val="Heading 6 Char"/>
    <w:basedOn w:val="79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99" w:customStyle="1">
    <w:name w:val="Heading 7 Char"/>
    <w:basedOn w:val="79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00" w:customStyle="1">
    <w:name w:val="Heading 8 Char"/>
    <w:basedOn w:val="7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01" w:customStyle="1">
    <w:name w:val="Heading 9 Char"/>
    <w:basedOn w:val="7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02" w:customStyle="1">
    <w:name w:val="Subtitle Char"/>
    <w:basedOn w:val="793"/>
    <w:uiPriority w:val="11"/>
    <w:rPr>
      <w:sz w:val="24"/>
      <w:szCs w:val="24"/>
    </w:rPr>
  </w:style>
  <w:style w:type="character" w:styleId="803" w:customStyle="1">
    <w:name w:val="Quote Char"/>
    <w:uiPriority w:val="29"/>
    <w:rPr>
      <w:i/>
    </w:rPr>
  </w:style>
  <w:style w:type="character" w:styleId="804" w:customStyle="1">
    <w:name w:val="Intense Quote Char"/>
    <w:uiPriority w:val="30"/>
    <w:rPr>
      <w:i/>
    </w:rPr>
  </w:style>
  <w:style w:type="character" w:styleId="805" w:customStyle="1">
    <w:name w:val="Caption Char"/>
    <w:basedOn w:val="793"/>
    <w:uiPriority w:val="35"/>
    <w:rPr>
      <w:b/>
      <w:bCs/>
      <w:color w:val="4f81bd" w:themeColor="accent1"/>
      <w:sz w:val="18"/>
      <w:szCs w:val="18"/>
    </w:rPr>
  </w:style>
  <w:style w:type="character" w:styleId="806" w:customStyle="1">
    <w:name w:val="Endnote Text Char"/>
    <w:uiPriority w:val="99"/>
    <w:rPr>
      <w:sz w:val="20"/>
    </w:rPr>
  </w:style>
  <w:style w:type="character" w:styleId="807" w:customStyle="1">
    <w:name w:val="Heading 1 Char"/>
    <w:basedOn w:val="79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08" w:customStyle="1">
    <w:name w:val="Heading 2 Char"/>
    <w:basedOn w:val="793"/>
    <w:uiPriority w:val="9"/>
    <w:rPr>
      <w:rFonts w:ascii="Liberation Sans" w:hAnsi="Liberation Sans" w:eastAsia="Liberation Sans" w:cs="Liberation Sans"/>
      <w:sz w:val="34"/>
    </w:rPr>
  </w:style>
  <w:style w:type="character" w:styleId="809" w:customStyle="1">
    <w:name w:val="Heading 3 Char"/>
    <w:basedOn w:val="79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10" w:customStyle="1">
    <w:name w:val="Заголовок 4 Знак"/>
    <w:basedOn w:val="793"/>
    <w:link w:val="78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11" w:customStyle="1">
    <w:name w:val="Заголовок 5 Знак"/>
    <w:basedOn w:val="793"/>
    <w:link w:val="78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12" w:customStyle="1">
    <w:name w:val="Заголовок 6 Знак"/>
    <w:basedOn w:val="793"/>
    <w:link w:val="7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13" w:customStyle="1">
    <w:name w:val="Заголовок 7 Знак"/>
    <w:basedOn w:val="793"/>
    <w:link w:val="7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14" w:customStyle="1">
    <w:name w:val="Заголовок 8 Знак"/>
    <w:basedOn w:val="793"/>
    <w:link w:val="79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15" w:customStyle="1">
    <w:name w:val="Заголовок 9 Знак"/>
    <w:basedOn w:val="793"/>
    <w:link w:val="79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16">
    <w:name w:val="No Spacing"/>
    <w:uiPriority w:val="1"/>
    <w:qFormat/>
    <w:pPr>
      <w:spacing w:after="0" w:line="240" w:lineRule="auto"/>
    </w:pPr>
  </w:style>
  <w:style w:type="character" w:styleId="817" w:customStyle="1">
    <w:name w:val="Title Char"/>
    <w:basedOn w:val="793"/>
    <w:uiPriority w:val="10"/>
    <w:rPr>
      <w:sz w:val="48"/>
      <w:szCs w:val="48"/>
    </w:rPr>
  </w:style>
  <w:style w:type="paragraph" w:styleId="818">
    <w:name w:val="Subtitle"/>
    <w:basedOn w:val="783"/>
    <w:next w:val="783"/>
    <w:link w:val="819"/>
    <w:uiPriority w:val="11"/>
    <w:qFormat/>
    <w:pPr>
      <w:spacing w:before="200" w:after="200"/>
    </w:pPr>
  </w:style>
  <w:style w:type="character" w:styleId="819" w:customStyle="1">
    <w:name w:val="Подзаголовок Знак"/>
    <w:basedOn w:val="793"/>
    <w:link w:val="818"/>
    <w:uiPriority w:val="11"/>
    <w:rPr>
      <w:sz w:val="24"/>
      <w:szCs w:val="24"/>
    </w:rPr>
  </w:style>
  <w:style w:type="paragraph" w:styleId="820">
    <w:name w:val="Quote"/>
    <w:basedOn w:val="783"/>
    <w:next w:val="783"/>
    <w:link w:val="821"/>
    <w:uiPriority w:val="29"/>
    <w:qFormat/>
    <w:pPr>
      <w:ind w:left="720" w:right="720"/>
    </w:pPr>
    <w:rPr>
      <w:i/>
    </w:rPr>
  </w:style>
  <w:style w:type="character" w:styleId="821" w:customStyle="1">
    <w:name w:val="Цитата 2 Знак"/>
    <w:link w:val="820"/>
    <w:uiPriority w:val="29"/>
    <w:rPr>
      <w:i/>
    </w:rPr>
  </w:style>
  <w:style w:type="paragraph" w:styleId="822">
    <w:name w:val="Intense Quote"/>
    <w:basedOn w:val="783"/>
    <w:next w:val="783"/>
    <w:link w:val="8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3" w:customStyle="1">
    <w:name w:val="Выделенная цитата Знак"/>
    <w:link w:val="822"/>
    <w:uiPriority w:val="30"/>
    <w:rPr>
      <w:i/>
    </w:rPr>
  </w:style>
  <w:style w:type="character" w:styleId="824" w:customStyle="1">
    <w:name w:val="Header Char"/>
    <w:basedOn w:val="793"/>
    <w:uiPriority w:val="99"/>
  </w:style>
  <w:style w:type="character" w:styleId="825" w:customStyle="1">
    <w:name w:val="Footer Char"/>
    <w:basedOn w:val="793"/>
    <w:uiPriority w:val="99"/>
  </w:style>
  <w:style w:type="paragraph" w:styleId="826">
    <w:name w:val="Caption"/>
    <w:basedOn w:val="783"/>
    <w:next w:val="783"/>
    <w:link w:val="8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7" w:customStyle="1">
    <w:name w:val="Название объекта Знак"/>
    <w:basedOn w:val="793"/>
    <w:link w:val="826"/>
    <w:uiPriority w:val="35"/>
    <w:rPr>
      <w:b/>
      <w:bCs/>
      <w:color w:val="4f81bd" w:themeColor="accent1"/>
      <w:sz w:val="18"/>
      <w:szCs w:val="18"/>
    </w:rPr>
  </w:style>
  <w:style w:type="table" w:styleId="828" w:customStyle="1">
    <w:name w:val="Table Grid Light"/>
    <w:basedOn w:val="79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9" w:customStyle="1">
    <w:name w:val="Plain Table 1"/>
    <w:basedOn w:val="79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30" w:customStyle="1">
    <w:name w:val="Plain Table 2"/>
    <w:basedOn w:val="7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31" w:customStyle="1">
    <w:name w:val="Plain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2" w:customStyle="1">
    <w:name w:val="Plain Table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Plain Table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1 Light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Grid Table 1 Light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Grid Table 1 Light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Grid Table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2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3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4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6" w:customStyle="1">
    <w:name w:val="Grid Table 4 - Accent 1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57" w:customStyle="1">
    <w:name w:val="Grid Table 4 - Accent 2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58" w:customStyle="1">
    <w:name w:val="Grid Table 4 - Accent 3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59" w:customStyle="1">
    <w:name w:val="Grid Table 4 - Accent 4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60" w:customStyle="1">
    <w:name w:val="Grid Table 4 - Accent 5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1" w:customStyle="1">
    <w:name w:val="Grid Table 4 - Accent 6"/>
    <w:basedOn w:val="7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2" w:customStyle="1">
    <w:name w:val="Grid Table 5 Dark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3" w:customStyle="1">
    <w:name w:val="Grid Table 5 Dark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6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0" w:customStyle="1">
    <w:name w:val="Grid Table 6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1" w:customStyle="1">
    <w:name w:val="Grid Table 6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2" w:customStyle="1">
    <w:name w:val="Grid Table 6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3" w:customStyle="1">
    <w:name w:val="Grid Table 6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4" w:customStyle="1">
    <w:name w:val="Grid Table 6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5" w:customStyle="1">
    <w:name w:val="Grid Table 6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6" w:customStyle="1">
    <w:name w:val="Grid Table 7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7" w:customStyle="1">
    <w:name w:val="Grid Table 7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8" w:customStyle="1">
    <w:name w:val="Grid Table 7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9" w:customStyle="1">
    <w:name w:val="Grid Table 7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Grid Table 7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Grid Table 7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2" w:customStyle="1">
    <w:name w:val="Grid Table 7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3" w:customStyle="1">
    <w:name w:val="List Table 1 Light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1" w:customStyle="1">
    <w:name w:val="List Table 2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7" w:customStyle="1">
    <w:name w:val="List Table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3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3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4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5 Dark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2" w:customStyle="1">
    <w:name w:val="List Table 5 Dark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3" w:customStyle="1">
    <w:name w:val="List Table 5 Dark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4" w:customStyle="1">
    <w:name w:val="List Table 5 Dark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5" w:customStyle="1">
    <w:name w:val="List Table 5 Dark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6" w:customStyle="1">
    <w:name w:val="List Table 5 Dark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7" w:customStyle="1">
    <w:name w:val="List Table 5 Dark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8" w:customStyle="1">
    <w:name w:val="List Table 6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19" w:customStyle="1">
    <w:name w:val="List Table 6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20" w:customStyle="1">
    <w:name w:val="List Table 6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1" w:customStyle="1">
    <w:name w:val="List Table 6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2" w:customStyle="1">
    <w:name w:val="List Table 6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3" w:customStyle="1">
    <w:name w:val="List Table 6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4" w:customStyle="1">
    <w:name w:val="List Table 6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5" w:customStyle="1">
    <w:name w:val="List Table 7 Colorful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6" w:customStyle="1">
    <w:name w:val="List Table 7 Colorful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7" w:customStyle="1">
    <w:name w:val="List Table 7 Colorful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8" w:customStyle="1">
    <w:name w:val="List Table 7 Colorful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9" w:customStyle="1">
    <w:name w:val="List Table 7 Colorful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0" w:customStyle="1">
    <w:name w:val="List Table 7 Colorful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1" w:customStyle="1">
    <w:name w:val="List Table 7 Colorful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2" w:customStyle="1">
    <w:name w:val="Lined - Accent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3" w:customStyle="1">
    <w:name w:val="Lined - Accent 1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4" w:customStyle="1">
    <w:name w:val="Lined - Accent 2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5" w:customStyle="1">
    <w:name w:val="Lined - Accent 3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6" w:customStyle="1">
    <w:name w:val="Lined - Accent 4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7" w:customStyle="1">
    <w:name w:val="Lined - Accent 5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8" w:customStyle="1">
    <w:name w:val="Lined - Accent 6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9" w:customStyle="1">
    <w:name w:val="Bordered &amp; Lined - Accent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0" w:customStyle="1">
    <w:name w:val="Bordered &amp; Lined - Accent 1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1" w:customStyle="1">
    <w:name w:val="Bordered &amp; Lined - Accent 2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2" w:customStyle="1">
    <w:name w:val="Bordered &amp; Lined - Accent 3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3" w:customStyle="1">
    <w:name w:val="Bordered &amp; Lined - Accent 4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4" w:customStyle="1">
    <w:name w:val="Bordered &amp; Lined - Accent 5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5" w:customStyle="1">
    <w:name w:val="Bordered &amp; Lined - Accent 6"/>
    <w:basedOn w:val="79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6" w:customStyle="1">
    <w:name w:val="Bordered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7" w:customStyle="1">
    <w:name w:val="Bordered - Accent 1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8" w:customStyle="1">
    <w:name w:val="Bordered - Accent 2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49" w:customStyle="1">
    <w:name w:val="Bordered - Accent 3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50" w:customStyle="1">
    <w:name w:val="Bordered - Accent 4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1" w:customStyle="1">
    <w:name w:val="Bordered - Accent 5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2" w:customStyle="1">
    <w:name w:val="Bordered - Accent 6"/>
    <w:basedOn w:val="7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3" w:customStyle="1">
    <w:name w:val="Footnote Text Char"/>
    <w:uiPriority w:val="99"/>
    <w:rPr>
      <w:sz w:val="18"/>
    </w:rPr>
  </w:style>
  <w:style w:type="paragraph" w:styleId="954">
    <w:name w:val="endnote text"/>
    <w:basedOn w:val="783"/>
    <w:link w:val="955"/>
    <w:uiPriority w:val="99"/>
    <w:semiHidden/>
    <w:unhideWhenUsed/>
    <w:rPr>
      <w:sz w:val="20"/>
    </w:rPr>
  </w:style>
  <w:style w:type="character" w:styleId="955" w:customStyle="1">
    <w:name w:val="Текст концевой сноски Знак"/>
    <w:link w:val="954"/>
    <w:uiPriority w:val="99"/>
    <w:rPr>
      <w:sz w:val="20"/>
    </w:rPr>
  </w:style>
  <w:style w:type="character" w:styleId="956">
    <w:name w:val="endnote reference"/>
    <w:basedOn w:val="793"/>
    <w:uiPriority w:val="99"/>
    <w:semiHidden/>
    <w:unhideWhenUsed/>
    <w:rPr>
      <w:vertAlign w:val="superscript"/>
    </w:rPr>
  </w:style>
  <w:style w:type="paragraph" w:styleId="957">
    <w:name w:val="toc 1"/>
    <w:basedOn w:val="783"/>
    <w:next w:val="783"/>
    <w:uiPriority w:val="39"/>
    <w:unhideWhenUsed/>
    <w:pPr>
      <w:spacing w:after="57"/>
    </w:pPr>
  </w:style>
  <w:style w:type="paragraph" w:styleId="958">
    <w:name w:val="toc 2"/>
    <w:basedOn w:val="783"/>
    <w:next w:val="783"/>
    <w:uiPriority w:val="39"/>
    <w:unhideWhenUsed/>
    <w:pPr>
      <w:ind w:left="283"/>
      <w:spacing w:after="57"/>
    </w:pPr>
  </w:style>
  <w:style w:type="paragraph" w:styleId="959">
    <w:name w:val="toc 3"/>
    <w:basedOn w:val="783"/>
    <w:next w:val="783"/>
    <w:uiPriority w:val="39"/>
    <w:unhideWhenUsed/>
    <w:pPr>
      <w:ind w:left="567"/>
      <w:spacing w:after="57"/>
    </w:pPr>
  </w:style>
  <w:style w:type="paragraph" w:styleId="960">
    <w:name w:val="toc 4"/>
    <w:basedOn w:val="783"/>
    <w:next w:val="783"/>
    <w:uiPriority w:val="39"/>
    <w:unhideWhenUsed/>
    <w:pPr>
      <w:ind w:left="850"/>
      <w:spacing w:after="57"/>
    </w:pPr>
  </w:style>
  <w:style w:type="paragraph" w:styleId="961">
    <w:name w:val="toc 5"/>
    <w:basedOn w:val="783"/>
    <w:next w:val="783"/>
    <w:uiPriority w:val="39"/>
    <w:unhideWhenUsed/>
    <w:pPr>
      <w:ind w:left="1134"/>
      <w:spacing w:after="57"/>
    </w:pPr>
  </w:style>
  <w:style w:type="paragraph" w:styleId="962">
    <w:name w:val="toc 6"/>
    <w:basedOn w:val="783"/>
    <w:next w:val="783"/>
    <w:uiPriority w:val="39"/>
    <w:unhideWhenUsed/>
    <w:pPr>
      <w:ind w:left="1417"/>
      <w:spacing w:after="57"/>
    </w:pPr>
  </w:style>
  <w:style w:type="paragraph" w:styleId="963">
    <w:name w:val="toc 7"/>
    <w:basedOn w:val="783"/>
    <w:next w:val="783"/>
    <w:uiPriority w:val="39"/>
    <w:unhideWhenUsed/>
    <w:pPr>
      <w:ind w:left="1701"/>
      <w:spacing w:after="57"/>
    </w:pPr>
  </w:style>
  <w:style w:type="paragraph" w:styleId="964">
    <w:name w:val="toc 8"/>
    <w:basedOn w:val="783"/>
    <w:next w:val="783"/>
    <w:uiPriority w:val="39"/>
    <w:unhideWhenUsed/>
    <w:pPr>
      <w:ind w:left="1984"/>
      <w:spacing w:after="57"/>
    </w:pPr>
  </w:style>
  <w:style w:type="paragraph" w:styleId="965">
    <w:name w:val="toc 9"/>
    <w:basedOn w:val="783"/>
    <w:next w:val="783"/>
    <w:uiPriority w:val="39"/>
    <w:unhideWhenUsed/>
    <w:pPr>
      <w:ind w:left="2268"/>
      <w:spacing w:after="57"/>
    </w:pPr>
  </w:style>
  <w:style w:type="paragraph" w:styleId="966">
    <w:name w:val="TOC Heading"/>
    <w:uiPriority w:val="39"/>
    <w:unhideWhenUsed/>
  </w:style>
  <w:style w:type="paragraph" w:styleId="967">
    <w:name w:val="table of figures"/>
    <w:basedOn w:val="783"/>
    <w:next w:val="783"/>
    <w:uiPriority w:val="99"/>
    <w:unhideWhenUsed/>
  </w:style>
  <w:style w:type="character" w:styleId="968" w:customStyle="1">
    <w:name w:val="Заголовок 1 Знак"/>
    <w:basedOn w:val="793"/>
    <w:link w:val="784"/>
    <w:rPr>
      <w:rFonts w:ascii="Tahoma" w:hAnsi="Tahoma" w:eastAsia="Times New Roman" w:cs="Times New Roman"/>
      <w:b/>
      <w:sz w:val="28"/>
      <w:szCs w:val="20"/>
      <w:lang w:eastAsia="ru-RU"/>
    </w:rPr>
  </w:style>
  <w:style w:type="character" w:styleId="969" w:customStyle="1">
    <w:name w:val="Заголовок 2 Знак"/>
    <w:basedOn w:val="793"/>
    <w:link w:val="785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styleId="970" w:customStyle="1">
    <w:name w:val="Заголовок 3 Знак"/>
    <w:basedOn w:val="793"/>
    <w:link w:val="786"/>
    <w:semiHidden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paragraph" w:styleId="971">
    <w:name w:val="Title"/>
    <w:basedOn w:val="783"/>
    <w:link w:val="972"/>
    <w:qFormat/>
    <w:pPr>
      <w:jc w:val="center"/>
    </w:pPr>
    <w:rPr>
      <w:sz w:val="28"/>
    </w:rPr>
  </w:style>
  <w:style w:type="character" w:styleId="972" w:customStyle="1">
    <w:name w:val="Название Знак"/>
    <w:basedOn w:val="793"/>
    <w:link w:val="971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973">
    <w:name w:val="Body Text"/>
    <w:basedOn w:val="783"/>
    <w:link w:val="974"/>
    <w:pPr>
      <w:jc w:val="both"/>
    </w:pPr>
    <w:rPr>
      <w:sz w:val="28"/>
    </w:rPr>
  </w:style>
  <w:style w:type="character" w:styleId="974" w:customStyle="1">
    <w:name w:val="Основной текст Знак"/>
    <w:basedOn w:val="793"/>
    <w:link w:val="973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975">
    <w:name w:val="Header"/>
    <w:basedOn w:val="783"/>
    <w:link w:val="976"/>
    <w:uiPriority w:val="99"/>
    <w:pPr>
      <w:tabs>
        <w:tab w:val="center" w:pos="4677" w:leader="none"/>
        <w:tab w:val="right" w:pos="9355" w:leader="none"/>
      </w:tabs>
    </w:pPr>
  </w:style>
  <w:style w:type="character" w:styleId="976" w:customStyle="1">
    <w:name w:val="Верхний колонтитул Знак"/>
    <w:basedOn w:val="793"/>
    <w:link w:val="97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7">
    <w:name w:val="Footer"/>
    <w:basedOn w:val="783"/>
    <w:link w:val="978"/>
    <w:uiPriority w:val="99"/>
    <w:pPr>
      <w:tabs>
        <w:tab w:val="center" w:pos="4677" w:leader="none"/>
        <w:tab w:val="right" w:pos="9355" w:leader="none"/>
      </w:tabs>
    </w:pPr>
  </w:style>
  <w:style w:type="character" w:styleId="978" w:customStyle="1">
    <w:name w:val="Нижний колонтитул Знак"/>
    <w:basedOn w:val="793"/>
    <w:link w:val="97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9">
    <w:name w:val="Balloon Text"/>
    <w:basedOn w:val="783"/>
    <w:link w:val="980"/>
    <w:semiHidden/>
    <w:rPr>
      <w:rFonts w:ascii="Tahoma" w:hAnsi="Tahoma" w:cs="Tahoma"/>
      <w:sz w:val="16"/>
      <w:szCs w:val="16"/>
    </w:rPr>
  </w:style>
  <w:style w:type="character" w:styleId="980" w:customStyle="1">
    <w:name w:val="Текст выноски Знак"/>
    <w:basedOn w:val="793"/>
    <w:link w:val="97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81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82">
    <w:name w:val="page number"/>
    <w:basedOn w:val="793"/>
  </w:style>
  <w:style w:type="paragraph" w:styleId="983" w:customStyle="1">
    <w:name w:val="ConsPlusNormal"/>
    <w:pPr>
      <w:ind w:firstLine="72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984">
    <w:name w:val="Normal (Web)"/>
    <w:basedOn w:val="783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985">
    <w:name w:val="Strong"/>
    <w:qFormat/>
    <w:rPr>
      <w:b/>
      <w:bCs/>
    </w:rPr>
  </w:style>
  <w:style w:type="paragraph" w:styleId="986" w:customStyle="1">
    <w:name w:val="consplusnormal0"/>
    <w:basedOn w:val="783"/>
    <w:pPr>
      <w:ind w:firstLine="120"/>
      <w:spacing w:before="100" w:after="100"/>
    </w:pPr>
    <w:rPr>
      <w:rFonts w:ascii="Verdana" w:hAnsi="Verdana"/>
    </w:rPr>
  </w:style>
  <w:style w:type="paragraph" w:styleId="987">
    <w:name w:val="footnote text"/>
    <w:basedOn w:val="783"/>
    <w:link w:val="988"/>
    <w:uiPriority w:val="99"/>
    <w:unhideWhenUsed/>
    <w:pPr>
      <w:ind w:firstLine="720"/>
      <w:jc w:val="both"/>
      <w:widowControl w:val="off"/>
    </w:pPr>
    <w:rPr>
      <w:rFonts w:ascii="Arial" w:hAnsi="Arial"/>
      <w:sz w:val="20"/>
      <w:szCs w:val="20"/>
    </w:rPr>
  </w:style>
  <w:style w:type="character" w:styleId="988" w:customStyle="1">
    <w:name w:val="Текст сноски Знак"/>
    <w:basedOn w:val="793"/>
    <w:link w:val="987"/>
    <w:uiPriority w:val="99"/>
    <w:rPr>
      <w:rFonts w:ascii="Arial" w:hAnsi="Arial" w:eastAsia="Times New Roman" w:cs="Times New Roman"/>
      <w:sz w:val="20"/>
      <w:szCs w:val="20"/>
      <w:lang w:eastAsia="ru-RU"/>
    </w:rPr>
  </w:style>
  <w:style w:type="character" w:styleId="989">
    <w:name w:val="footnote reference"/>
    <w:uiPriority w:val="99"/>
    <w:unhideWhenUsed/>
    <w:rPr>
      <w:rFonts w:cs="Times New Roman"/>
      <w:vertAlign w:val="superscript"/>
    </w:rPr>
  </w:style>
  <w:style w:type="character" w:styleId="990">
    <w:name w:val="annotation reference"/>
    <w:rPr>
      <w:sz w:val="16"/>
      <w:szCs w:val="16"/>
    </w:rPr>
  </w:style>
  <w:style w:type="paragraph" w:styleId="991">
    <w:name w:val="annotation text"/>
    <w:basedOn w:val="783"/>
    <w:link w:val="992"/>
    <w:uiPriority w:val="99"/>
    <w:rPr>
      <w:sz w:val="20"/>
      <w:szCs w:val="20"/>
    </w:rPr>
  </w:style>
  <w:style w:type="character" w:styleId="992" w:customStyle="1">
    <w:name w:val="Текст примечания Знак"/>
    <w:basedOn w:val="793"/>
    <w:link w:val="991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3">
    <w:name w:val="annotation subject"/>
    <w:basedOn w:val="991"/>
    <w:next w:val="991"/>
    <w:link w:val="994"/>
    <w:rPr>
      <w:b/>
      <w:bCs/>
    </w:rPr>
  </w:style>
  <w:style w:type="character" w:styleId="994" w:customStyle="1">
    <w:name w:val="Тема примечания Знак"/>
    <w:basedOn w:val="992"/>
    <w:link w:val="993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995">
    <w:name w:val="Hyperlink"/>
    <w:uiPriority w:val="99"/>
    <w:rPr>
      <w:color w:val="0000ff"/>
      <w:u w:val="single"/>
    </w:rPr>
  </w:style>
  <w:style w:type="paragraph" w:styleId="996" w:customStyle="1">
    <w:name w:val="normd"/>
    <w:basedOn w:val="783"/>
    <w:pPr>
      <w:spacing w:before="100" w:beforeAutospacing="1" w:after="100" w:afterAutospacing="1"/>
    </w:pPr>
  </w:style>
  <w:style w:type="paragraph" w:styleId="997">
    <w:name w:val="HTML Preformatted"/>
    <w:basedOn w:val="783"/>
    <w:link w:val="998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98" w:customStyle="1">
    <w:name w:val="Стандартный HTML Знак"/>
    <w:basedOn w:val="793"/>
    <w:link w:val="997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999">
    <w:name w:val="List Paragraph"/>
    <w:basedOn w:val="783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character" w:styleId="1000" w:customStyle="1">
    <w:name w:val="Основной текст_"/>
    <w:link w:val="1001"/>
    <w:rPr>
      <w:spacing w:val="1"/>
      <w:sz w:val="27"/>
      <w:szCs w:val="27"/>
      <w:shd w:val="clear" w:color="auto" w:fill="ffffff"/>
    </w:rPr>
  </w:style>
  <w:style w:type="paragraph" w:styleId="1001" w:customStyle="1">
    <w:name w:val="Основной текст1"/>
    <w:basedOn w:val="783"/>
    <w:link w:val="1000"/>
    <w:pPr>
      <w:jc w:val="both"/>
      <w:spacing w:after="720" w:line="0" w:lineRule="atLeast"/>
      <w:shd w:val="clear" w:color="auto" w:fill="ffffff"/>
      <w:widowControl w:val="off"/>
    </w:pPr>
    <w:rPr>
      <w:rFonts w:asciiTheme="minorHAnsi" w:hAnsiTheme="minorHAnsi" w:eastAsiaTheme="minorHAnsi" w:cstheme="minorBidi"/>
      <w:spacing w:val="1"/>
      <w:sz w:val="27"/>
      <w:szCs w:val="27"/>
      <w:lang w:eastAsia="en-US"/>
    </w:rPr>
  </w:style>
  <w:style w:type="paragraph" w:styleId="1002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1003" w:customStyle="1">
    <w:name w:val="Название проектного документа"/>
    <w:basedOn w:val="783"/>
    <w:pPr>
      <w:ind w:left="1701"/>
      <w:jc w:val="center"/>
      <w:widowControl w:val="off"/>
    </w:pPr>
    <w:rPr>
      <w:rFonts w:ascii="Arial" w:hAnsi="Arial" w:cs="Arial"/>
      <w:b/>
      <w:bCs/>
      <w:color w:val="000080"/>
      <w:sz w:val="32"/>
      <w:szCs w:val="20"/>
    </w:rPr>
  </w:style>
  <w:style w:type="table" w:styleId="1004">
    <w:name w:val="Table Grid"/>
    <w:basedOn w:val="794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9EEAB-42A4-4858-8A02-04186ADF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Прусаков Д.А.</dc:creator>
  <cp:lastModifiedBy>da_prusakov</cp:lastModifiedBy>
  <cp:revision>20</cp:revision>
  <dcterms:created xsi:type="dcterms:W3CDTF">2026-07-16T06:27:00Z</dcterms:created>
  <dcterms:modified xsi:type="dcterms:W3CDTF">2026-08-06T12:03:53Z</dcterms:modified>
</cp:coreProperties>
</file>