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right" w:pos="7655" w:leader="none"/>
        </w:tabs>
        <w:rPr>
          <w:sz w:val="28"/>
          <w:szCs w:val="28"/>
        </w:rPr>
      </w:pPr>
      <w:r/>
      <w:bookmarkStart w:id="0" w:name="_Hlk96336468"/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786" cy="716517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69786" cy="716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4.87pt;height:56.42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ind w:left="567" w:right="-286"/>
        <w:jc w:val="center"/>
        <w:rPr>
          <w:spacing w:val="30"/>
          <w:sz w:val="28"/>
          <w:szCs w:val="28"/>
        </w:rPr>
      </w:pPr>
      <w:r>
        <w:rPr>
          <w:spacing w:val="30"/>
          <w:sz w:val="28"/>
          <w:szCs w:val="28"/>
        </w:rPr>
        <w:t xml:space="preserve">АДМИНИСТРАЦИЯ ЛЕНИНГРАДСКОЙ ОБЛАСТИ</w:t>
      </w:r>
      <w:r>
        <w:rPr>
          <w:spacing w:val="30"/>
          <w:sz w:val="28"/>
          <w:szCs w:val="28"/>
        </w:rPr>
      </w:r>
    </w:p>
    <w:p>
      <w:pPr>
        <w:ind w:left="567" w:right="-286"/>
        <w:jc w:val="center"/>
        <w:rPr>
          <w:b/>
          <w:spacing w:val="30"/>
          <w:sz w:val="28"/>
          <w:szCs w:val="28"/>
          <w:lang w:eastAsia="en-US"/>
        </w:rPr>
      </w:pPr>
      <w:r>
        <w:rPr>
          <w:b/>
          <w:spacing w:val="30"/>
          <w:sz w:val="28"/>
          <w:szCs w:val="28"/>
          <w:lang w:eastAsia="en-US"/>
        </w:rPr>
        <w:t xml:space="preserve">КОМИТЕТ ПО СОХРАНЕНИЮ КУЛЬТУРНОГО НАСЛЕДИЯ ЛЕНИНГРАДСКОЙ ОБЛАСТИ</w:t>
      </w:r>
      <w:r>
        <w:rPr>
          <w:b/>
          <w:spacing w:val="30"/>
          <w:sz w:val="28"/>
          <w:szCs w:val="28"/>
          <w:lang w:eastAsia="en-US"/>
        </w:rPr>
      </w:r>
    </w:p>
    <w:p>
      <w:pPr>
        <w:ind w:left="567" w:right="-286"/>
        <w:jc w:val="center"/>
        <w:rPr>
          <w:sz w:val="2"/>
          <w:szCs w:val="28"/>
        </w:rPr>
        <w:pBdr>
          <w:bottom w:val="single" w:color="000000" w:sz="12" w:space="1"/>
        </w:pBdr>
      </w:pPr>
      <w:r>
        <w:rPr>
          <w:sz w:val="2"/>
          <w:szCs w:val="28"/>
        </w:rPr>
      </w:r>
      <w:r>
        <w:rPr>
          <w:sz w:val="2"/>
          <w:szCs w:val="28"/>
        </w:rPr>
      </w:r>
    </w:p>
    <w:p>
      <w:pPr>
        <w:ind w:left="567" w:right="-286"/>
        <w:jc w:val="center"/>
        <w:rPr>
          <w:b/>
          <w:spacing w:val="80"/>
          <w:sz w:val="28"/>
          <w:szCs w:val="28"/>
        </w:rPr>
      </w:pPr>
      <w:r>
        <w:rPr>
          <w:b/>
          <w:spacing w:val="80"/>
          <w:sz w:val="28"/>
          <w:szCs w:val="28"/>
        </w:rPr>
      </w:r>
      <w:r>
        <w:rPr>
          <w:b/>
          <w:spacing w:val="80"/>
          <w:sz w:val="28"/>
          <w:szCs w:val="28"/>
        </w:rPr>
      </w:r>
    </w:p>
    <w:p>
      <w:pPr>
        <w:ind w:left="567" w:right="-2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</w:t>
      </w:r>
      <w:r>
        <w:rPr>
          <w:b/>
          <w:sz w:val="28"/>
          <w:szCs w:val="28"/>
        </w:rPr>
      </w:r>
    </w:p>
    <w:p>
      <w:pPr>
        <w:ind w:left="567" w:right="-286"/>
        <w:jc w:val="center"/>
        <w:tabs>
          <w:tab w:val="right" w:pos="93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right" w:pos="93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«__</w:t>
      </w:r>
      <w:r>
        <w:rPr>
          <w:sz w:val="28"/>
          <w:szCs w:val="28"/>
        </w:rPr>
        <w:t xml:space="preserve">_»_</w:t>
      </w:r>
      <w:r>
        <w:rPr>
          <w:sz w:val="28"/>
          <w:szCs w:val="28"/>
        </w:rPr>
        <w:t xml:space="preserve">___________2026 г.                                                        №________________        Санкт-Петербург</w:t>
      </w:r>
      <w:bookmarkEnd w:id="0"/>
      <w:r/>
      <w:r>
        <w:rPr>
          <w:sz w:val="28"/>
          <w:szCs w:val="28"/>
        </w:rPr>
      </w:r>
    </w:p>
    <w:p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включении выявленного объекта культурного наследия </w:t>
      </w:r>
      <w:r>
        <w:rPr>
          <w:b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bookmarkStart w:id="1" w:name="_Hlk226043635"/>
      <w:r>
        <w:rPr>
          <w:b/>
          <w:sz w:val="28"/>
          <w:szCs w:val="28"/>
        </w:rPr>
        <w:t xml:space="preserve">Дот пулеметный</w:t>
      </w:r>
      <w:bookmarkEnd w:id="1"/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адресу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Ленинградская область, Выборгский район, о</w:t>
      </w:r>
      <w:r>
        <w:rPr>
          <w:b/>
          <w:sz w:val="28"/>
          <w:szCs w:val="28"/>
        </w:rPr>
        <w:t xml:space="preserve">стров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Вихревой, южная оконечность</w:t>
      </w:r>
      <w:r>
        <w:rPr>
          <w:b/>
          <w:sz w:val="28"/>
          <w:szCs w:val="28"/>
        </w:rPr>
        <w:t xml:space="preserve">,</w:t>
      </w:r>
      <w:r>
        <w:rPr>
          <w:b/>
          <w:sz w:val="28"/>
          <w:szCs w:val="28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 в качестве объекта культурного наследия </w:t>
      </w:r>
      <w:r>
        <w:rPr>
          <w:b/>
          <w:sz w:val="28"/>
          <w:szCs w:val="28"/>
        </w:rPr>
        <w:t xml:space="preserve">регионального</w:t>
      </w:r>
      <w:r>
        <w:rPr>
          <w:b/>
          <w:sz w:val="28"/>
          <w:szCs w:val="28"/>
        </w:rPr>
        <w:t xml:space="preserve"> значения, утверждении границ территории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и предмета охраны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3.1, 5.1, 9.2, 16.1, 18, 33 Федерального закона </w:t>
      </w:r>
      <w:r>
        <w:rPr>
          <w:sz w:val="28"/>
          <w:szCs w:val="28"/>
        </w:rPr>
        <w:br/>
        <w:t xml:space="preserve">от 25 июня 2002 года № 73-ФЗ «Об объектах культурного наследия (памятниках истории и культуры) народов Российской Федерации», ст. 4 Областного закона Ленинградской области от 25 декабря 2015 года № 140-оз «О государственной охране, сохранении</w:t>
      </w:r>
      <w:r>
        <w:rPr>
          <w:sz w:val="28"/>
          <w:szCs w:val="28"/>
        </w:rPr>
        <w:t xml:space="preserve">, использовании и популяризации объектов культурного наследия (памятников истории и культуры) народов Российской Федерации, расположенных на территории Ленинградской области», постановлением Правительства Ленинградской области от 21 декабря 2020 года № 839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органах исполнительной власти Ленинградской области в сфере культуры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туризма», Положением о едином государственном реестре объектов культурного наследия (памятников истории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и культуры) народов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Федерации, утвержденным приказом Министерства культуры Российской Федерации от 3 октября 2011 года № 954, </w:t>
      </w:r>
      <w:r>
        <w:rPr>
          <w:sz w:val="28"/>
          <w:szCs w:val="28"/>
        </w:rPr>
        <w:t xml:space="preserve">п.п</w:t>
      </w:r>
      <w:r>
        <w:rPr>
          <w:sz w:val="28"/>
          <w:szCs w:val="28"/>
        </w:rPr>
        <w:t xml:space="preserve">. 2.1.2, 2.3.7 </w:t>
      </w:r>
      <w:r>
        <w:rPr>
          <w:sz w:val="28"/>
          <w:szCs w:val="28"/>
        </w:rPr>
        <w:br/>
        <w:t xml:space="preserve">Положения о комитете по сохранению культурного наследия Ленинградской области, утвержденного постановлением Правительства Ленинградской области </w:t>
      </w:r>
      <w:r>
        <w:rPr>
          <w:sz w:val="28"/>
          <w:szCs w:val="28"/>
        </w:rPr>
        <w:br w:type="textWrapping" w:clear="all"/>
        <w:t xml:space="preserve">от 24 декабря 2020 года № 850, на основании </w:t>
      </w:r>
      <w:r>
        <w:rPr>
          <w:sz w:val="28"/>
          <w:szCs w:val="28"/>
        </w:rPr>
        <w:t xml:space="preserve">положительного заключения государственной историко-культурной экспертизы, выполненной </w:t>
      </w:r>
      <w:r>
        <w:rPr>
          <w:sz w:val="28"/>
          <w:szCs w:val="28"/>
        </w:rPr>
        <w:t xml:space="preserve">физическим лицом - аттестованным Министерством культуры Российской Федерации экспертом </w:t>
      </w:r>
      <w:r>
        <w:rPr>
          <w:sz w:val="28"/>
          <w:szCs w:val="28"/>
        </w:rPr>
        <w:t xml:space="preserve">Савиничем</w:t>
      </w:r>
      <w:r>
        <w:rPr>
          <w:sz w:val="28"/>
          <w:szCs w:val="28"/>
        </w:rPr>
        <w:t xml:space="preserve"> А.Ю. (приказ Министерства культуры Российской Федерации 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от 29.09.2023 № 2785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</w:r>
    </w:p>
    <w:p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приказываю:</w:t>
      </w:r>
      <w:r>
        <w:rPr>
          <w:sz w:val="28"/>
          <w:szCs w:val="28"/>
        </w:rPr>
      </w:r>
    </w:p>
    <w:p>
      <w:pPr>
        <w:pStyle w:val="913"/>
        <w:numPr>
          <w:ilvl w:val="0"/>
          <w:numId w:val="1"/>
        </w:numPr>
        <w:ind w:left="0" w:firstLine="851"/>
        <w:jc w:val="both"/>
        <w:widowControl w:val="off"/>
        <w:tabs>
          <w:tab w:val="left" w:pos="425" w:leader="none"/>
          <w:tab w:val="clear" w:pos="1260" w:leader="none"/>
        </w:tabs>
      </w:pPr>
      <w:r>
        <w:rPr>
          <w:sz w:val="28"/>
          <w:szCs w:val="28"/>
        </w:rPr>
        <w:t xml:space="preserve">Включить выявленный объект культурного наследия «</w:t>
      </w:r>
      <w:r>
        <w:rPr>
          <w:sz w:val="28"/>
          <w:szCs w:val="28"/>
        </w:rPr>
        <w:t xml:space="preserve">Дот пулеметный</w:t>
      </w:r>
      <w:r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 xml:space="preserve">Ленинградская область, Выборгский район,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стров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Вихревой, южная оконечность</w:t>
      </w:r>
      <w:r>
        <w:rPr>
          <w:sz w:val="28"/>
          <w:szCs w:val="28"/>
        </w:rPr>
        <w:t xml:space="preserve">, в единый государственный реестр объектов культурного наследия </w:t>
      </w:r>
      <w:r>
        <w:rPr>
          <w:sz w:val="28"/>
          <w:szCs w:val="28"/>
        </w:rPr>
        <w:t xml:space="preserve">(памятников истории и культуры) народов Российской Федерации в качестве объекта культурного наследия </w:t>
      </w:r>
      <w:r>
        <w:rPr>
          <w:sz w:val="28"/>
          <w:szCs w:val="28"/>
        </w:rPr>
        <w:t xml:space="preserve">регионального</w:t>
      </w:r>
      <w:r>
        <w:rPr>
          <w:sz w:val="28"/>
          <w:szCs w:val="28"/>
        </w:rPr>
        <w:t xml:space="preserve"> значения,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наименованием «</w:t>
      </w:r>
      <w:bookmarkStart w:id="2" w:name="_Hlk222073378"/>
      <w:r>
        <w:rPr>
          <w:sz w:val="28"/>
          <w:szCs w:val="28"/>
        </w:rPr>
        <w:t xml:space="preserve">Дот пулеметный</w:t>
      </w:r>
      <w:r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1920-е гг., </w:t>
      </w:r>
      <w:r>
        <w:rPr>
          <w:sz w:val="28"/>
          <w:szCs w:val="28"/>
        </w:rPr>
        <w:t xml:space="preserve">расположенного по адресу: </w:t>
      </w:r>
      <w:bookmarkEnd w:id="2"/>
      <w:r>
        <w:rPr>
          <w:sz w:val="28"/>
          <w:szCs w:val="28"/>
        </w:rPr>
        <w:t xml:space="preserve">Ленинградская область, Выборгский район, о</w:t>
      </w:r>
      <w:r>
        <w:rPr>
          <w:sz w:val="28"/>
          <w:szCs w:val="28"/>
        </w:rPr>
        <w:t xml:space="preserve">стров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Вихревой, южная оконечность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 </w:t>
      </w:r>
      <w:r>
        <w:rPr>
          <w:sz w:val="28"/>
          <w:szCs w:val="28"/>
        </w:rPr>
        <w:t xml:space="preserve">объекта культурного наследия</w:t>
      </w:r>
      <w:r>
        <w:rPr>
          <w:sz w:val="28"/>
          <w:szCs w:val="28"/>
        </w:rPr>
        <w:t xml:space="preserve"> – памятник.</w:t>
      </w:r>
      <w:r/>
    </w:p>
    <w:p>
      <w:pPr>
        <w:numPr>
          <w:ilvl w:val="0"/>
          <w:numId w:val="1"/>
        </w:numPr>
        <w:ind w:left="0" w:firstLine="851"/>
        <w:jc w:val="both"/>
        <w:tabs>
          <w:tab w:val="left" w:pos="425" w:leader="none"/>
          <w:tab w:val="clear" w:pos="1260" w:leader="none"/>
        </w:tabs>
      </w:pPr>
      <w:r/>
      <w:bookmarkStart w:id="3" w:name="_Hlk233722769"/>
      <w:r>
        <w:rPr>
          <w:sz w:val="28"/>
          <w:szCs w:val="28"/>
        </w:rPr>
        <w:t xml:space="preserve">Утвердить</w:t>
      </w:r>
      <w:bookmarkEnd w:id="3"/>
      <w:r>
        <w:rPr>
          <w:sz w:val="28"/>
          <w:szCs w:val="28"/>
        </w:rPr>
        <w:t xml:space="preserve"> границы территории объекта культурного наследия </w:t>
      </w:r>
      <w:r>
        <w:rPr>
          <w:sz w:val="28"/>
          <w:szCs w:val="28"/>
        </w:rPr>
        <w:t xml:space="preserve">регионального</w:t>
      </w:r>
      <w:r>
        <w:rPr>
          <w:sz w:val="28"/>
          <w:szCs w:val="28"/>
        </w:rPr>
        <w:t xml:space="preserve"> значения «</w:t>
      </w:r>
      <w:r>
        <w:rPr>
          <w:sz w:val="28"/>
          <w:szCs w:val="28"/>
        </w:rPr>
        <w:t xml:space="preserve">Дот пулеметный</w:t>
      </w:r>
      <w:r>
        <w:rPr>
          <w:sz w:val="28"/>
          <w:szCs w:val="28"/>
        </w:rPr>
        <w:t xml:space="preserve">», расположенного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 xml:space="preserve">Ленинградская область, Выборгский район, о</w:t>
      </w:r>
      <w:r>
        <w:rPr>
          <w:sz w:val="28"/>
          <w:szCs w:val="28"/>
        </w:rPr>
        <w:t xml:space="preserve">стров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Вихревой, южная оконечность</w:t>
      </w:r>
      <w:r>
        <w:rPr>
          <w:sz w:val="28"/>
          <w:szCs w:val="28"/>
        </w:rPr>
        <w:t xml:space="preserve">, согласно приложению № 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приказу.</w:t>
      </w:r>
      <w:r/>
    </w:p>
    <w:p>
      <w:pPr>
        <w:numPr>
          <w:ilvl w:val="0"/>
          <w:numId w:val="1"/>
        </w:numPr>
        <w:ind w:left="0" w:firstLine="851"/>
        <w:jc w:val="both"/>
        <w:tabs>
          <w:tab w:val="left" w:pos="425" w:leader="none"/>
          <w:tab w:val="clear" w:pos="1260" w:leader="none"/>
        </w:tabs>
      </w:pPr>
      <w:r>
        <w:rPr>
          <w:sz w:val="28"/>
          <w:szCs w:val="28"/>
        </w:rPr>
        <w:t xml:space="preserve">Утвердить</w:t>
      </w:r>
      <w:r>
        <w:rPr>
          <w:sz w:val="28"/>
          <w:szCs w:val="28"/>
        </w:rPr>
        <w:t xml:space="preserve"> предмет охраны объекта культурного наследия </w:t>
      </w:r>
      <w:r>
        <w:rPr>
          <w:sz w:val="28"/>
          <w:szCs w:val="28"/>
        </w:rPr>
        <w:t xml:space="preserve">регионального </w:t>
      </w:r>
      <w:r>
        <w:rPr>
          <w:sz w:val="28"/>
          <w:szCs w:val="28"/>
        </w:rPr>
        <w:t xml:space="preserve">значения «</w:t>
      </w:r>
      <w:r>
        <w:rPr>
          <w:sz w:val="28"/>
          <w:szCs w:val="28"/>
        </w:rPr>
        <w:t xml:space="preserve">Дот пулеметный</w:t>
      </w:r>
      <w:r>
        <w:rPr>
          <w:sz w:val="28"/>
          <w:szCs w:val="28"/>
        </w:rPr>
        <w:t xml:space="preserve">», расположенного по адресу: </w:t>
      </w:r>
      <w:r>
        <w:rPr>
          <w:sz w:val="28"/>
          <w:szCs w:val="28"/>
        </w:rPr>
        <w:t xml:space="preserve">Ленинградская область, Выборгский район, о</w:t>
      </w:r>
      <w:r>
        <w:rPr>
          <w:sz w:val="28"/>
          <w:szCs w:val="28"/>
        </w:rPr>
        <w:t xml:space="preserve">стров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Вихревой, южная оконечность</w:t>
      </w:r>
      <w:r>
        <w:rPr>
          <w:sz w:val="28"/>
          <w:szCs w:val="28"/>
        </w:rPr>
        <w:t xml:space="preserve">, согласно приложению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№ 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приказу.</w:t>
      </w:r>
      <w:r/>
    </w:p>
    <w:p>
      <w:pPr>
        <w:numPr>
          <w:ilvl w:val="0"/>
          <w:numId w:val="1"/>
        </w:numPr>
        <w:ind w:left="0" w:firstLine="851"/>
        <w:jc w:val="both"/>
        <w:tabs>
          <w:tab w:val="left" w:pos="425" w:leader="none"/>
          <w:tab w:val="clear" w:pos="1260" w:leader="none"/>
        </w:tabs>
      </w:pPr>
      <w:r>
        <w:rPr>
          <w:sz w:val="28"/>
          <w:szCs w:val="28"/>
        </w:rPr>
        <w:t xml:space="preserve">Исключить выявленный объект культурного наследия </w:t>
      </w: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Дот пулеметный</w:t>
      </w:r>
      <w:r>
        <w:rPr>
          <w:sz w:val="28"/>
          <w:szCs w:val="28"/>
        </w:rPr>
        <w:t xml:space="preserve">», по адресу: </w:t>
      </w:r>
      <w:r>
        <w:rPr>
          <w:sz w:val="28"/>
          <w:szCs w:val="28"/>
        </w:rPr>
        <w:t xml:space="preserve">Ленинградская область, Выборгский район,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стров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Вихревой, южная оконечность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из Перечня выявленных объектов культурного наследия, расположенных на территории Ленинградской области, </w:t>
      </w:r>
      <w:r>
        <w:rPr>
          <w:bCs/>
          <w:sz w:val="28"/>
          <w:szCs w:val="28"/>
        </w:rPr>
        <w:t xml:space="preserve">утвержденного</w:t>
      </w:r>
      <w:r>
        <w:rPr>
          <w:bCs/>
          <w:sz w:val="28"/>
          <w:szCs w:val="28"/>
        </w:rPr>
        <w:t xml:space="preserve"> приказом комитета по культуре Ленинградской области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от 01 декабря 2015 года </w:t>
      </w:r>
      <w:r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 xml:space="preserve">№ 01-03/15-63 (п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951</w:t>
      </w:r>
      <w:r>
        <w:rPr>
          <w:bCs/>
          <w:sz w:val="28"/>
          <w:szCs w:val="28"/>
        </w:rPr>
        <w:t xml:space="preserve">).</w:t>
      </w:r>
      <w:r/>
    </w:p>
    <w:p>
      <w:pPr>
        <w:numPr>
          <w:ilvl w:val="0"/>
          <w:numId w:val="1"/>
        </w:numPr>
        <w:ind w:left="0" w:firstLine="851"/>
        <w:jc w:val="both"/>
        <w:tabs>
          <w:tab w:val="left" w:pos="425" w:leader="none"/>
          <w:tab w:val="clear" w:pos="1260" w:leader="none"/>
        </w:tabs>
      </w:pPr>
      <w:r>
        <w:rPr>
          <w:sz w:val="28"/>
          <w:szCs w:val="28"/>
        </w:rPr>
        <w:t xml:space="preserve">Отделу по осуществлению полномочий Ленинградской области в сфере объектов культурного наследия комитета по сохранению культурного наследия Ленинградской области обеспечить:</w:t>
      </w:r>
      <w:r/>
    </w:p>
    <w:p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внесение сведений об объекте культурного наследия </w:t>
      </w:r>
      <w:r>
        <w:rPr>
          <w:sz w:val="28"/>
          <w:szCs w:val="28"/>
        </w:rPr>
        <w:t xml:space="preserve">регионального</w:t>
      </w:r>
      <w:r>
        <w:rPr>
          <w:sz w:val="28"/>
          <w:szCs w:val="28"/>
        </w:rPr>
        <w:t xml:space="preserve"> значения, указанном в п. 1 настоящего приказа, в единый государственный реестр объектов культурного наследия (памятников истории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культуры) народов Российской Федерации;</w:t>
      </w:r>
      <w:r>
        <w:rPr>
          <w:sz w:val="28"/>
          <w:szCs w:val="28"/>
        </w:rPr>
      </w:r>
    </w:p>
    <w:p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направление копии настоящего приказа в сроки, установленные действующим законодательством, в территориальный орган федерального органа исполнительной власти, уполномоченного Правител</w:t>
      </w:r>
      <w:r>
        <w:rPr>
          <w:sz w:val="28"/>
          <w:szCs w:val="28"/>
        </w:rPr>
        <w:t xml:space="preserve">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  <w:r>
        <w:rPr>
          <w:sz w:val="28"/>
          <w:szCs w:val="28"/>
        </w:rPr>
      </w:r>
    </w:p>
    <w:p>
      <w:pPr>
        <w:pStyle w:val="91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направление письменного уведомления собственнику или иному законному владельцу объекта культурного наследия </w:t>
      </w:r>
      <w:r>
        <w:rPr>
          <w:sz w:val="28"/>
          <w:szCs w:val="28"/>
        </w:rPr>
        <w:t xml:space="preserve">регионального</w:t>
      </w:r>
      <w:r>
        <w:rPr>
          <w:sz w:val="28"/>
          <w:szCs w:val="28"/>
        </w:rPr>
        <w:t xml:space="preserve"> значения, земельного участка в границах территории объекта культурного наследия </w:t>
      </w:r>
      <w:r>
        <w:rPr>
          <w:sz w:val="28"/>
          <w:szCs w:val="28"/>
        </w:rPr>
        <w:t xml:space="preserve">регионального</w:t>
      </w:r>
      <w:r>
        <w:rPr>
          <w:sz w:val="28"/>
          <w:szCs w:val="28"/>
        </w:rPr>
        <w:t xml:space="preserve"> значения, указанного в п.1 настоящего приказа</w:t>
      </w:r>
      <w:r>
        <w:rPr>
          <w:sz w:val="28"/>
          <w:szCs w:val="27"/>
        </w:rPr>
        <w:t xml:space="preserve">.</w:t>
      </w:r>
      <w:r>
        <w:rPr>
          <w:sz w:val="28"/>
          <w:szCs w:val="28"/>
        </w:rPr>
      </w:r>
    </w:p>
    <w:p>
      <w:pPr>
        <w:pStyle w:val="91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Сектору делопроизводства и информационного обеспечения комитета </w:t>
      </w:r>
      <w:r>
        <w:rPr>
          <w:sz w:val="28"/>
          <w:szCs w:val="28"/>
        </w:rPr>
        <w:br/>
        <w:t xml:space="preserve">по сохранению культурного наследия Ленинградской области обеспечить размещение настоящего приказа в сетевом издании «Электронное опубликование документов»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информационно-телекоммуникационной сети «Интернет».</w:t>
      </w:r>
      <w:r>
        <w:rPr>
          <w:sz w:val="28"/>
          <w:szCs w:val="28"/>
        </w:rPr>
      </w:r>
    </w:p>
    <w:p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 Контроль за исполнением</w:t>
      </w:r>
      <w:r>
        <w:rPr>
          <w:sz w:val="28"/>
          <w:szCs w:val="28"/>
        </w:rPr>
        <w:t xml:space="preserve"> настоящего приказа возложить на заместителя председателя комитета по сохранению культурного наследия Ленинградской области, осуществляющего полномочия в сфере сохранения, использования, популяризации и государственной охраны объектов культурного наследия.</w:t>
      </w:r>
      <w:r>
        <w:rPr>
          <w:sz w:val="28"/>
          <w:szCs w:val="28"/>
        </w:rPr>
      </w:r>
    </w:p>
    <w:p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8. Настоящий приказ вступает в силу со дня его официального опубликования.</w:t>
      </w:r>
      <w:r>
        <w:rPr>
          <w:sz w:val="28"/>
          <w:szCs w:val="28"/>
        </w:rPr>
      </w:r>
    </w:p>
    <w:p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</w:r>
    </w:p>
    <w:tbl>
      <w:tblPr>
        <w:tblW w:w="10347" w:type="dxa"/>
        <w:tblLayout w:type="fixed"/>
        <w:tblLook w:val="04A0" w:firstRow="1" w:lastRow="0" w:firstColumn="1" w:lastColumn="0" w:noHBand="0" w:noVBand="1"/>
      </w:tblPr>
      <w:tblGrid>
        <w:gridCol w:w="5744"/>
        <w:gridCol w:w="4603"/>
      </w:tblGrid>
      <w:tr>
        <w:tblPrEx/>
        <w:trPr>
          <w:trHeight w:val="151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74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Вице-губернатор Ленинградской области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 вопросам развития и сохранения культурного наследия – председатель комитета по сохранению культурного наследия Ленинградской области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0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 Цой</w:t>
            </w:r>
            <w:r>
              <w:rPr>
                <w:sz w:val="28"/>
                <w:szCs w:val="28"/>
              </w:rPr>
            </w:r>
          </w:p>
        </w:tc>
      </w:tr>
    </w:tbl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 1</w:t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приказу комитета по сохранению</w:t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культурного наследия Ленинградской области                                                                                         </w:t>
      </w:r>
      <w:r>
        <w:rPr>
          <w:sz w:val="26"/>
          <w:szCs w:val="26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6"/>
          <w:szCs w:val="26"/>
        </w:rPr>
        <w:t xml:space="preserve">от «__» ________ 2026 года № ______________</w:t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rPr>
          <w:b/>
          <w:sz w:val="28"/>
          <w:szCs w:val="28"/>
        </w:rPr>
      </w:pPr>
      <w:r/>
      <w:bookmarkStart w:id="4" w:name="_Hlk226381340"/>
      <w:r>
        <w:rPr>
          <w:b/>
          <w:sz w:val="28"/>
          <w:szCs w:val="28"/>
        </w:rPr>
        <w:t xml:space="preserve">Г</w:t>
      </w:r>
      <w:r>
        <w:rPr>
          <w:b/>
          <w:sz w:val="28"/>
          <w:szCs w:val="28"/>
        </w:rPr>
        <w:t xml:space="preserve">раниц</w:t>
      </w:r>
      <w:r>
        <w:rPr>
          <w:b/>
          <w:sz w:val="28"/>
          <w:szCs w:val="28"/>
        </w:rPr>
        <w:t xml:space="preserve">ы</w:t>
      </w:r>
      <w:r>
        <w:rPr>
          <w:b/>
          <w:sz w:val="28"/>
          <w:szCs w:val="28"/>
        </w:rPr>
        <w:t xml:space="preserve"> территории</w:t>
      </w:r>
      <w:r>
        <w:rPr>
          <w:b/>
          <w:sz w:val="28"/>
          <w:szCs w:val="28"/>
        </w:rPr>
      </w:r>
    </w:p>
    <w:p>
      <w:pPr>
        <w:contextualSpacing/>
        <w:jc w:val="center"/>
        <w:rPr>
          <w:b/>
          <w:sz w:val="28"/>
          <w:szCs w:val="28"/>
        </w:rPr>
      </w:pPr>
      <w:r/>
      <w:bookmarkStart w:id="5" w:name="_Hlk226045051"/>
      <w:r>
        <w:rPr>
          <w:b/>
          <w:sz w:val="28"/>
          <w:szCs w:val="28"/>
        </w:rPr>
        <w:t xml:space="preserve">объекта культурного наследия </w:t>
      </w:r>
      <w:bookmarkEnd w:id="4"/>
      <w:r>
        <w:rPr>
          <w:b/>
          <w:sz w:val="28"/>
          <w:szCs w:val="28"/>
        </w:rPr>
        <w:t xml:space="preserve">регионального значения</w:t>
      </w:r>
      <w:r>
        <w:rPr>
          <w:b/>
          <w:sz w:val="28"/>
          <w:szCs w:val="28"/>
        </w:rPr>
      </w:r>
    </w:p>
    <w:p>
      <w:pPr>
        <w:contextualSpacing/>
        <w:jc w:val="center"/>
        <w:rPr>
          <w:bCs/>
          <w:sz w:val="28"/>
          <w:szCs w:val="28"/>
        </w:rPr>
      </w:pPr>
      <w:r/>
      <w:bookmarkStart w:id="6" w:name="_Hlk226045121"/>
      <w:r>
        <w:rPr>
          <w:b/>
          <w:bCs/>
          <w:sz w:val="28"/>
          <w:szCs w:val="28"/>
        </w:rPr>
        <w:t xml:space="preserve">«Дот пулеметный», </w:t>
      </w:r>
      <w:r>
        <w:rPr>
          <w:b/>
          <w:bCs/>
          <w:sz w:val="28"/>
          <w:szCs w:val="28"/>
        </w:rPr>
        <w:t xml:space="preserve">расположенного </w:t>
      </w:r>
      <w:r>
        <w:rPr>
          <w:b/>
          <w:bCs/>
          <w:sz w:val="28"/>
          <w:szCs w:val="28"/>
        </w:rPr>
        <w:t xml:space="preserve">по адресу: Ленинградская область,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Выборгский район, о</w:t>
      </w:r>
      <w:r>
        <w:rPr>
          <w:b/>
          <w:bCs/>
          <w:sz w:val="28"/>
          <w:szCs w:val="28"/>
        </w:rPr>
        <w:t xml:space="preserve">стров </w:t>
      </w:r>
      <w:r>
        <w:rPr>
          <w:b/>
          <w:bCs/>
          <w:sz w:val="28"/>
          <w:szCs w:val="28"/>
        </w:rPr>
        <w:t xml:space="preserve">Вихревой, южная оконечность</w:t>
      </w:r>
      <w:bookmarkEnd w:id="5"/>
      <w:r/>
      <w:bookmarkEnd w:id="6"/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</w:p>
    <w:p>
      <w:pPr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913"/>
        <w:numPr>
          <w:ilvl w:val="0"/>
          <w:numId w:val="33"/>
        </w:num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Карта (схема) границ территории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объекта культурного наследия</w:t>
      </w:r>
      <w:r>
        <w:rPr>
          <w:bCs/>
          <w:sz w:val="28"/>
          <w:szCs w:val="28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rFonts w:eastAsia="ISOCPEUR"/>
          <w:b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05500" cy="4328160"/>
                <wp:effectExtent l="0" t="0" r="0" b="0"/>
                <wp:docPr id="2" name="Рисунок 13" descr="Изображение выглядит как текст, карт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Изображение выглядит как текст, карта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05500" cy="432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5.00pt;height:340.8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Условные обозначения:</w:t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contextualSpacing/>
        <w:rPr>
          <w:bCs/>
          <w:sz w:val="28"/>
          <w:szCs w:val="28"/>
        </w:rPr>
      </w:pPr>
      <w:r>
        <w:rPr>
          <w:b/>
          <w:bCs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40005</wp:posOffset>
                </wp:positionV>
                <wp:extent cx="485140" cy="208280"/>
                <wp:effectExtent l="34925" t="29845" r="32384" b="28575"/>
                <wp:wrapNone/>
                <wp:docPr id="3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08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" type="#_x0000_t2" style="position:absolute;z-index:251660288;o:allowoverlap:true;o:allowincell:true;mso-position-horizontal-relative:text;margin-left:-2.20pt;mso-position-horizontal:absolute;mso-position-vertical-relative:text;margin-top:3.15pt;mso-position-vertical:absolute;width:38.20pt;height:16.40pt;mso-wrap-distance-left:9.00pt;mso-wrap-distance-top:0.00pt;mso-wrap-distance-right:9.00pt;mso-wrap-distance-bottom:0.00pt;visibility:visible;" fillcolor="#FFFFFF" strokecolor="#FF0000" strokeweight="4.50pt"/>
            </w:pict>
          </mc:Fallback>
        </mc:AlternateContent>
      </w:r>
      <w:r>
        <w:rPr>
          <w:b/>
          <w:bCs/>
          <w:sz w:val="26"/>
          <w:szCs w:val="26"/>
        </w:rPr>
        <w:t xml:space="preserve">              г</w:t>
      </w:r>
      <w:r>
        <w:rPr>
          <w:bCs/>
          <w:sz w:val="28"/>
          <w:szCs w:val="28"/>
        </w:rPr>
        <w:t xml:space="preserve">раница территории объекта культурного наследия регионального значения</w:t>
      </w:r>
      <w:r>
        <w:rPr>
          <w:bCs/>
          <w:sz w:val="28"/>
          <w:szCs w:val="28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 Текстовое описание границ территории объекта культурного наследия</w:t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ind w:left="851"/>
        <w:widowControl w:val="off"/>
        <w:rPr>
          <w:rFonts w:eastAsia="ISOCPEUR"/>
          <w:sz w:val="28"/>
          <w:szCs w:val="28"/>
        </w:rPr>
      </w:pPr>
      <w:r>
        <w:rPr>
          <w:rFonts w:eastAsia="ISOCPEUR"/>
          <w:sz w:val="28"/>
          <w:szCs w:val="28"/>
        </w:rPr>
        <w:t xml:space="preserve">от точки 1 на северо-восток до точки 2;</w:t>
      </w:r>
      <w:r>
        <w:rPr>
          <w:rFonts w:eastAsia="ISOCPEUR"/>
          <w:sz w:val="28"/>
          <w:szCs w:val="28"/>
        </w:rPr>
      </w:r>
    </w:p>
    <w:p>
      <w:pPr>
        <w:ind w:left="851"/>
        <w:widowControl w:val="off"/>
        <w:rPr>
          <w:rFonts w:eastAsia="ISOCPEUR"/>
          <w:sz w:val="28"/>
          <w:szCs w:val="28"/>
        </w:rPr>
      </w:pPr>
      <w:r>
        <w:rPr>
          <w:rFonts w:eastAsia="ISOCPEUR"/>
          <w:sz w:val="28"/>
          <w:szCs w:val="28"/>
        </w:rPr>
        <w:t xml:space="preserve">от точки 2 на юго-восток до точки 3;</w:t>
      </w:r>
      <w:r>
        <w:rPr>
          <w:rFonts w:eastAsia="ISOCPEUR"/>
          <w:sz w:val="28"/>
          <w:szCs w:val="28"/>
        </w:rPr>
      </w:r>
    </w:p>
    <w:p>
      <w:pPr>
        <w:ind w:left="851"/>
        <w:widowControl w:val="off"/>
        <w:rPr>
          <w:rFonts w:eastAsia="ISOCPEUR"/>
          <w:sz w:val="28"/>
          <w:szCs w:val="28"/>
        </w:rPr>
      </w:pPr>
      <w:r>
        <w:rPr>
          <w:rFonts w:eastAsia="ISOCPEUR"/>
          <w:sz w:val="28"/>
          <w:szCs w:val="28"/>
        </w:rPr>
        <w:t xml:space="preserve">от точки 3 на юго-запад до точки 4;</w:t>
      </w:r>
      <w:r>
        <w:rPr>
          <w:rFonts w:eastAsia="ISOCPEUR"/>
          <w:sz w:val="28"/>
          <w:szCs w:val="28"/>
        </w:rPr>
      </w:r>
    </w:p>
    <w:p>
      <w:pPr>
        <w:ind w:left="851"/>
        <w:widowControl w:val="off"/>
        <w:rPr>
          <w:rFonts w:eastAsia="ISOCPEUR"/>
          <w:sz w:val="28"/>
          <w:szCs w:val="28"/>
        </w:rPr>
      </w:pPr>
      <w:r>
        <w:rPr>
          <w:rFonts w:eastAsia="ISOCPEUR"/>
          <w:sz w:val="28"/>
          <w:szCs w:val="28"/>
        </w:rPr>
        <w:t xml:space="preserve">от точки 4 на северо-запад до исходной точки 1.</w:t>
      </w:r>
      <w:r>
        <w:rPr>
          <w:rFonts w:eastAsia="ISOCPEUR"/>
          <w:sz w:val="28"/>
          <w:szCs w:val="28"/>
        </w:rPr>
      </w:r>
    </w:p>
    <w:p>
      <w:pPr>
        <w:contextualSpacing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pStyle w:val="913"/>
        <w:numPr>
          <w:ilvl w:val="0"/>
          <w:numId w:val="34"/>
        </w:num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Схема </w:t>
      </w:r>
      <w:r>
        <w:rPr>
          <w:b/>
          <w:bCs/>
          <w:sz w:val="26"/>
          <w:szCs w:val="26"/>
        </w:rPr>
        <w:t xml:space="preserve">поворотных (характерных) точек границ территории</w:t>
      </w:r>
      <w:r>
        <w:rPr>
          <w:b/>
          <w:bCs/>
          <w:sz w:val="26"/>
          <w:szCs w:val="26"/>
        </w:rPr>
        <w:br/>
        <w:t xml:space="preserve">объекта культурного наследия</w:t>
      </w:r>
      <w:r>
        <w:rPr>
          <w:b/>
          <w:bCs/>
          <w:sz w:val="26"/>
          <w:szCs w:val="26"/>
        </w:rPr>
      </w:r>
    </w:p>
    <w:p>
      <w:pPr>
        <w:contextualSpacing/>
        <w:jc w:val="center"/>
        <w:rPr>
          <w:i/>
          <w:sz w:val="28"/>
          <w:szCs w:val="28"/>
        </w:rPr>
      </w:pPr>
      <w:r>
        <w:rPr>
          <w:rFonts w:eastAsia="ISOCPEUR"/>
          <w:i/>
          <w:color w:val="ffffff"/>
          <w:spacing w:val="-2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36397" cy="3741947"/>
                <wp:effectExtent l="0" t="0" r="0" b="0"/>
                <wp:docPr id="4" name="Рисунок 12" descr="Изображение выглядит как линия, диаграмма, дизайн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Изображение выглядит как линия, диаграмма, дизайн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258063" cy="376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33.57pt;height:294.64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i/>
          <w:sz w:val="28"/>
          <w:szCs w:val="28"/>
        </w:rPr>
      </w:r>
    </w:p>
    <w:p>
      <w:pPr>
        <w:contextualSpacing/>
        <w:ind w:left="426" w:firstLine="426"/>
      </w:pPr>
      <w:r>
        <w:t xml:space="preserve">Условные обозначения:</w:t>
      </w:r>
      <w:r/>
    </w:p>
    <w:p>
      <w:pPr>
        <w:ind w:left="426" w:firstLine="426"/>
        <w:spacing w:line="276" w:lineRule="auto"/>
        <w:rPr>
          <w:sz w:val="28"/>
          <w:szCs w:val="28"/>
        </w:rPr>
      </w:pPr>
      <w:r>
        <w:rPr>
          <w:color w:val="ee0000"/>
          <w:sz w:val="28"/>
          <w:szCs w:val="28"/>
        </w:rPr>
        <w:t xml:space="preserve">1-4</w:t>
      </w:r>
      <w:r>
        <w:rPr>
          <w:sz w:val="28"/>
          <w:szCs w:val="28"/>
        </w:rPr>
        <w:t xml:space="preserve"> - обозначения характерных точек</w:t>
      </w:r>
      <w:r>
        <w:rPr>
          <w:sz w:val="28"/>
          <w:szCs w:val="28"/>
        </w:rPr>
      </w:r>
    </w:p>
    <w:p>
      <w:pPr>
        <w:ind w:left="426" w:firstLine="426"/>
        <w:jc w:val="both"/>
        <w:spacing w:line="276" w:lineRule="auto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page">
                  <wp:posOffset>1463040</wp:posOffset>
                </wp:positionH>
                <wp:positionV relativeFrom="paragraph">
                  <wp:posOffset>93981</wp:posOffset>
                </wp:positionV>
                <wp:extent cx="624840" cy="45719"/>
                <wp:effectExtent l="0" t="19050" r="22860" b="0"/>
                <wp:wrapNone/>
                <wp:docPr id="5" name="Полилиния: фигура 796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484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690" fill="norm" stroke="1" extrusionOk="0">
                              <a:moveTo>
                                <a:pt x="0" y="0"/>
                              </a:moveTo>
                              <a:lnTo>
                                <a:pt x="69469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style="position:absolute;z-index:251659264;o:allowoverlap:true;o:allowincell:true;mso-position-horizontal-relative:page;margin-left:115.20pt;mso-position-horizontal:absolute;mso-position-vertical-relative:text;margin-top:7.40pt;mso-position-vertical:absolute;width:49.20pt;height:3.60pt;mso-wrap-distance-left:0.00pt;mso-wrap-distance-top:0.00pt;mso-wrap-distance-right:0.00pt;mso-wrap-distance-bottom:0.00pt;visibility:visible;" path="m0,0l100000,0e" coordsize="100000,100000" filled="f" strokecolor="#FF0000" strokeweight="3.00pt">
                <v:path textboxrect="0,0,100000,100000"/>
                <v:stroke dashstyle="solid"/>
              </v:shape>
            </w:pict>
          </mc:Fallback>
        </mc:AlternateConten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   - граница территории объекта культурного наследия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егионального значения</w:t>
      </w:r>
      <w:r>
        <w:rPr>
          <w:sz w:val="28"/>
          <w:szCs w:val="28"/>
        </w:rPr>
      </w:r>
    </w:p>
    <w:p>
      <w:pPr>
        <w:jc w:val="center"/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jc w:val="center"/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ind w:firstLine="284"/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4. Перечень координат</w:t>
      </w:r>
      <w:r>
        <w:rPr>
          <w:b/>
          <w:sz w:val="28"/>
          <w:szCs w:val="28"/>
        </w:rPr>
        <w:t xml:space="preserve"> поворотных (характерных) точек границ территории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</w:r>
    </w:p>
    <w:p>
      <w:pPr>
        <w:contextualSpacing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tbl>
      <w:tblPr>
        <w:tblW w:w="7636" w:type="dxa"/>
        <w:jc w:val="center"/>
        <w:tblLook w:val="04A0" w:firstRow="1" w:lastRow="0" w:firstColumn="1" w:lastColumn="0" w:noHBand="0" w:noVBand="1"/>
      </w:tblPr>
      <w:tblGrid>
        <w:gridCol w:w="2402"/>
        <w:gridCol w:w="2603"/>
        <w:gridCol w:w="2395"/>
        <w:gridCol w:w="236"/>
      </w:tblGrid>
      <w:tr>
        <w:tblPrEx/>
        <w:trPr>
          <w:gridAfter w:val="1"/>
          <w:jc w:val="center"/>
          <w:trHeight w:val="53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Номер характерной (поворотной) точки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98" w:type="dxa"/>
            <w:vAlign w:val="center"/>
            <w:vMerge w:val="restart"/>
            <w:textDirection w:val="lrTb"/>
            <w:noWrap w:val="false"/>
          </w:tcPr>
          <w:p>
            <w:pPr>
              <w:ind w:right="204"/>
              <w:jc w:val="center"/>
              <w:tabs>
                <w:tab w:val="left" w:pos="4116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Координаты характерных (поворотных) точек в местной системе координат (МСК-47 зона 1)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jc w:val="center"/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3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jc w:val="center"/>
          <w:trHeight w:val="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03" w:type="dxa"/>
            <w:vAlign w:val="center"/>
            <w:textDirection w:val="lrTb"/>
            <w:noWrap w:val="false"/>
          </w:tcPr>
          <w:p>
            <w:pPr>
              <w:ind w:left="567" w:right="20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X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95" w:type="dxa"/>
            <w:vAlign w:val="center"/>
            <w:textDirection w:val="lrTb"/>
            <w:noWrap w:val="false"/>
          </w:tcPr>
          <w:p>
            <w:pPr>
              <w:ind w:left="567" w:right="20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Y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3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2" w:type="dxa"/>
            <w:textDirection w:val="lrTb"/>
            <w:noWrap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03" w:type="dxa"/>
            <w:vAlign w:val="bottom"/>
            <w:textDirection w:val="lrTb"/>
            <w:noWrap/>
          </w:tcPr>
          <w:p>
            <w:pPr>
              <w:ind w:left="142"/>
              <w:jc w:val="center"/>
              <w:spacing w:line="229" w:lineRule="exact"/>
              <w:rPr>
                <w:rFonts w:eastAsia="ISOCPEUR"/>
                <w:sz w:val="28"/>
                <w:szCs w:val="28"/>
              </w:rPr>
            </w:pPr>
            <w:r>
              <w:rPr>
                <w:rFonts w:eastAsia="ISOCPEUR"/>
                <w:color w:val="000000"/>
                <w:sz w:val="28"/>
                <w:szCs w:val="28"/>
              </w:rPr>
              <w:t xml:space="preserve">505776.49</w:t>
            </w:r>
            <w:r>
              <w:rPr>
                <w:rFonts w:eastAsia="ISOCPEUR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95" w:type="dxa"/>
            <w:vAlign w:val="bottom"/>
            <w:textDirection w:val="lrTb"/>
            <w:noWrap/>
          </w:tcPr>
          <w:p>
            <w:pPr>
              <w:ind w:right="566"/>
              <w:jc w:val="right"/>
              <w:spacing w:line="229" w:lineRule="exact"/>
              <w:rPr>
                <w:rFonts w:eastAsia="ISOCPEUR"/>
                <w:sz w:val="28"/>
                <w:szCs w:val="28"/>
              </w:rPr>
            </w:pPr>
            <w:r>
              <w:rPr>
                <w:rFonts w:eastAsia="ISOCPEUR"/>
                <w:color w:val="000000"/>
                <w:sz w:val="28"/>
                <w:szCs w:val="28"/>
              </w:rPr>
              <w:t xml:space="preserve">1276921.94</w:t>
            </w:r>
            <w:r>
              <w:rPr>
                <w:rFonts w:eastAsia="ISOCPEUR"/>
                <w:sz w:val="28"/>
                <w:szCs w:val="28"/>
              </w:rPr>
            </w:r>
          </w:p>
        </w:tc>
        <w:tc>
          <w:tcPr>
            <w:tcW w:w="23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2" w:type="dxa"/>
            <w:textDirection w:val="lrTb"/>
            <w:noWrap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03" w:type="dxa"/>
            <w:vAlign w:val="bottom"/>
            <w:textDirection w:val="lrTb"/>
            <w:noWrap/>
          </w:tcPr>
          <w:p>
            <w:pPr>
              <w:ind w:left="142"/>
              <w:jc w:val="center"/>
              <w:spacing w:line="234" w:lineRule="exact"/>
              <w:rPr>
                <w:rFonts w:eastAsia="ISOCPEUR"/>
                <w:sz w:val="28"/>
                <w:szCs w:val="28"/>
              </w:rPr>
            </w:pPr>
            <w:r>
              <w:rPr>
                <w:rFonts w:eastAsia="ISOCPEUR"/>
                <w:color w:val="000000"/>
                <w:sz w:val="28"/>
                <w:szCs w:val="28"/>
              </w:rPr>
              <w:t xml:space="preserve">505863.46</w:t>
            </w:r>
            <w:r>
              <w:rPr>
                <w:rFonts w:eastAsia="ISOCPEUR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95" w:type="dxa"/>
            <w:vAlign w:val="bottom"/>
            <w:textDirection w:val="lrTb"/>
            <w:noWrap/>
          </w:tcPr>
          <w:p>
            <w:pPr>
              <w:ind w:right="566"/>
              <w:jc w:val="right"/>
              <w:spacing w:line="234" w:lineRule="exact"/>
              <w:rPr>
                <w:rFonts w:eastAsia="ISOCPEUR"/>
                <w:sz w:val="28"/>
                <w:szCs w:val="28"/>
              </w:rPr>
            </w:pPr>
            <w:r>
              <w:rPr>
                <w:rFonts w:eastAsia="ISOCPEUR"/>
                <w:color w:val="000000"/>
                <w:sz w:val="28"/>
                <w:szCs w:val="28"/>
              </w:rPr>
              <w:t xml:space="preserve">1276998.22</w:t>
            </w:r>
            <w:r>
              <w:rPr>
                <w:rFonts w:eastAsia="ISOCPEUR"/>
                <w:sz w:val="28"/>
                <w:szCs w:val="28"/>
              </w:rPr>
            </w:r>
          </w:p>
        </w:tc>
        <w:tc>
          <w:tcPr>
            <w:tcW w:w="23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2" w:type="dxa"/>
            <w:textDirection w:val="lrTb"/>
            <w:noWrap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03" w:type="dxa"/>
            <w:vAlign w:val="bottom"/>
            <w:textDirection w:val="lrTb"/>
            <w:noWrap/>
          </w:tcPr>
          <w:p>
            <w:pPr>
              <w:ind w:left="142" w:right="5"/>
              <w:jc w:val="center"/>
              <w:spacing w:line="232" w:lineRule="exact"/>
              <w:rPr>
                <w:rFonts w:eastAsia="ISOCPEUR"/>
                <w:sz w:val="28"/>
                <w:szCs w:val="28"/>
              </w:rPr>
            </w:pPr>
            <w:r>
              <w:rPr>
                <w:rFonts w:eastAsia="ISOCPEUR"/>
                <w:color w:val="000000"/>
                <w:sz w:val="28"/>
                <w:szCs w:val="28"/>
              </w:rPr>
              <w:t xml:space="preserve">505799.96</w:t>
            </w:r>
            <w:r>
              <w:rPr>
                <w:rFonts w:eastAsia="ISOCPEUR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95" w:type="dxa"/>
            <w:vAlign w:val="bottom"/>
            <w:textDirection w:val="lrTb"/>
            <w:noWrap/>
          </w:tcPr>
          <w:p>
            <w:pPr>
              <w:ind w:right="566"/>
              <w:jc w:val="right"/>
              <w:spacing w:line="232" w:lineRule="exact"/>
              <w:rPr>
                <w:rFonts w:eastAsia="ISOCPEUR"/>
                <w:sz w:val="28"/>
                <w:szCs w:val="28"/>
              </w:rPr>
            </w:pPr>
            <w:r>
              <w:rPr>
                <w:rFonts w:eastAsia="ISOCPEUR"/>
                <w:color w:val="000000"/>
                <w:sz w:val="28"/>
                <w:szCs w:val="28"/>
              </w:rPr>
              <w:t xml:space="preserve">1277070.61</w:t>
            </w:r>
            <w:r>
              <w:rPr>
                <w:rFonts w:eastAsia="ISOCPEUR"/>
                <w:sz w:val="28"/>
                <w:szCs w:val="28"/>
              </w:rPr>
            </w:r>
          </w:p>
        </w:tc>
        <w:tc>
          <w:tcPr>
            <w:tcW w:w="23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2" w:type="dxa"/>
            <w:textDirection w:val="lrTb"/>
            <w:noWrap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03" w:type="dxa"/>
            <w:vAlign w:val="bottom"/>
            <w:textDirection w:val="lrTb"/>
            <w:noWrap/>
          </w:tcPr>
          <w:p>
            <w:pPr>
              <w:ind w:left="142"/>
              <w:jc w:val="center"/>
              <w:spacing w:line="232" w:lineRule="exact"/>
              <w:rPr>
                <w:rFonts w:eastAsia="ISOCPEUR"/>
                <w:sz w:val="28"/>
                <w:szCs w:val="28"/>
              </w:rPr>
            </w:pPr>
            <w:r>
              <w:rPr>
                <w:rFonts w:eastAsia="ISOCPEUR"/>
                <w:color w:val="000000"/>
                <w:sz w:val="28"/>
                <w:szCs w:val="28"/>
              </w:rPr>
              <w:t xml:space="preserve">505712.99</w:t>
            </w:r>
            <w:r>
              <w:rPr>
                <w:rFonts w:eastAsia="ISOCPEUR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95" w:type="dxa"/>
            <w:vAlign w:val="bottom"/>
            <w:textDirection w:val="lrTb"/>
            <w:noWrap/>
          </w:tcPr>
          <w:p>
            <w:pPr>
              <w:ind w:right="566"/>
              <w:jc w:val="right"/>
              <w:spacing w:line="232" w:lineRule="exact"/>
              <w:rPr>
                <w:rFonts w:eastAsia="ISOCPEUR"/>
                <w:sz w:val="28"/>
                <w:szCs w:val="28"/>
              </w:rPr>
            </w:pPr>
            <w:r>
              <w:rPr>
                <w:rFonts w:eastAsia="ISOCPEUR"/>
                <w:color w:val="000000"/>
                <w:sz w:val="28"/>
                <w:szCs w:val="28"/>
              </w:rPr>
              <w:t xml:space="preserve">1276994.33</w:t>
            </w:r>
            <w:r>
              <w:rPr>
                <w:rFonts w:eastAsia="ISOCPEUR"/>
                <w:sz w:val="28"/>
                <w:szCs w:val="28"/>
              </w:rPr>
            </w:r>
          </w:p>
        </w:tc>
        <w:tc>
          <w:tcPr>
            <w:tcW w:w="23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  <w:trHeight w:val="2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2" w:type="dxa"/>
            <w:textDirection w:val="lrTb"/>
            <w:noWrap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03" w:type="dxa"/>
            <w:vAlign w:val="bottom"/>
            <w:textDirection w:val="lrTb"/>
            <w:noWrap/>
          </w:tcPr>
          <w:p>
            <w:pPr>
              <w:ind w:left="142"/>
              <w:jc w:val="center"/>
              <w:spacing w:line="229" w:lineRule="exact"/>
              <w:rPr>
                <w:rFonts w:eastAsia="ISOCPEUR"/>
                <w:sz w:val="28"/>
                <w:szCs w:val="28"/>
              </w:rPr>
            </w:pPr>
            <w:r>
              <w:rPr>
                <w:rFonts w:eastAsia="ISOCPEUR"/>
                <w:color w:val="000000"/>
                <w:sz w:val="28"/>
                <w:szCs w:val="28"/>
              </w:rPr>
              <w:t xml:space="preserve">505776.49</w:t>
            </w:r>
            <w:r>
              <w:rPr>
                <w:rFonts w:eastAsia="ISOCPEUR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95" w:type="dxa"/>
            <w:vAlign w:val="bottom"/>
            <w:textDirection w:val="lrTb"/>
            <w:noWrap/>
          </w:tcPr>
          <w:p>
            <w:pPr>
              <w:ind w:right="566"/>
              <w:jc w:val="right"/>
              <w:spacing w:line="229" w:lineRule="exact"/>
              <w:rPr>
                <w:rFonts w:eastAsia="ISOCPEUR"/>
                <w:sz w:val="28"/>
                <w:szCs w:val="28"/>
              </w:rPr>
            </w:pPr>
            <w:r>
              <w:rPr>
                <w:rFonts w:eastAsia="ISOCPEUR"/>
                <w:color w:val="000000"/>
                <w:sz w:val="28"/>
                <w:szCs w:val="28"/>
              </w:rPr>
              <w:t xml:space="preserve">1276921.94</w:t>
            </w:r>
            <w:r>
              <w:rPr>
                <w:rFonts w:eastAsia="ISOCPEUR"/>
                <w:sz w:val="28"/>
                <w:szCs w:val="28"/>
              </w:rPr>
            </w:r>
          </w:p>
        </w:tc>
        <w:tc>
          <w:tcPr>
            <w:tcW w:w="236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contextualSpacing/>
        <w:ind w:left="-283" w:right="-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left="-283" w:right="-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left="-283" w:right="-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ежим использования территории</w:t>
      </w:r>
      <w:r>
        <w:rPr>
          <w:b/>
          <w:sz w:val="28"/>
          <w:szCs w:val="28"/>
        </w:rPr>
      </w:r>
    </w:p>
    <w:p>
      <w:pPr>
        <w:contextualSpacing/>
        <w:ind w:left="-283" w:right="-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объекта культурного наследия регионального значения</w:t>
      </w:r>
      <w:r>
        <w:rPr>
          <w:b/>
          <w:sz w:val="28"/>
          <w:szCs w:val="28"/>
        </w:rPr>
      </w:r>
    </w:p>
    <w:p>
      <w:pPr>
        <w:ind w:firstLine="852"/>
        <w:jc w:val="center"/>
        <w:tabs>
          <w:tab w:val="left" w:pos="709" w:leader="none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«Дот пулеметный», по адресу: Ленинградская область,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Выборгский район, о</w:t>
      </w:r>
      <w:r>
        <w:rPr>
          <w:b/>
          <w:bCs/>
          <w:sz w:val="28"/>
          <w:szCs w:val="28"/>
        </w:rPr>
        <w:t xml:space="preserve">стров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Вихревой, южная оконечность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</w:r>
    </w:p>
    <w:p>
      <w:pPr>
        <w:ind w:firstLine="852"/>
        <w:jc w:val="center"/>
        <w:tabs>
          <w:tab w:val="left" w:pos="70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851"/>
        <w:jc w:val="both"/>
        <w:spacing w:after="120"/>
        <w:rPr>
          <w:sz w:val="28"/>
          <w:szCs w:val="28"/>
        </w:rPr>
      </w:pPr>
      <w:r>
        <w:rPr>
          <w:color w:val="1b1b1b"/>
          <w:sz w:val="28"/>
          <w:szCs w:val="28"/>
          <w:shd w:val="clear" w:color="auto" w:fill="ffffff"/>
        </w:rPr>
        <w:t xml:space="preserve">Разрешается</w:t>
      </w:r>
      <w:bookmarkStart w:id="7" w:name="7"/>
      <w:r/>
      <w:bookmarkEnd w:id="7"/>
      <w:r>
        <w:rPr>
          <w:sz w:val="28"/>
          <w:szCs w:val="28"/>
        </w:rPr>
        <w:t xml:space="preserve"> по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специально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разработанным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проектам, согласованным</w:t>
      </w:r>
      <w:r>
        <w:rPr>
          <w:spacing w:val="80"/>
          <w:sz w:val="28"/>
          <w:szCs w:val="28"/>
        </w:rPr>
        <w:t xml:space="preserve"> </w:t>
      </w:r>
      <w:r>
        <w:rPr>
          <w:spacing w:val="80"/>
          <w:sz w:val="28"/>
          <w:szCs w:val="28"/>
        </w:rPr>
        <w:br/>
      </w:r>
      <w:r>
        <w:rPr>
          <w:sz w:val="28"/>
          <w:szCs w:val="28"/>
        </w:rPr>
        <w:t xml:space="preserve">с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охраны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культурного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наследия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порядке, установленном законодательством Российской</w:t>
      </w:r>
      <w:r>
        <w:t xml:space="preserve"> </w:t>
      </w:r>
      <w:r>
        <w:rPr>
          <w:sz w:val="28"/>
          <w:szCs w:val="28"/>
        </w:rPr>
        <w:t xml:space="preserve">Федерации:</w:t>
      </w:r>
      <w:r>
        <w:rPr>
          <w:sz w:val="28"/>
          <w:szCs w:val="28"/>
        </w:rPr>
      </w:r>
    </w:p>
    <w:p>
      <w:pPr>
        <w:numPr>
          <w:ilvl w:val="0"/>
          <w:numId w:val="31"/>
        </w:numPr>
        <w:contextualSpacing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работ по сохранению </w:t>
      </w:r>
      <w:bookmarkStart w:id="8" w:name="_Hlk226381987"/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бъекта</w:t>
      </w:r>
      <w:r>
        <w:rPr>
          <w:sz w:val="28"/>
          <w:szCs w:val="28"/>
        </w:rPr>
        <w:t xml:space="preserve"> культурного наследия</w:t>
      </w:r>
      <w:bookmarkEnd w:id="8"/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numPr>
          <w:ilvl w:val="0"/>
          <w:numId w:val="31"/>
        </w:numPr>
        <w:contextualSpacing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сохранению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исторической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планировки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территории </w:t>
      </w:r>
      <w:r>
        <w:rPr>
          <w:spacing w:val="-2"/>
          <w:sz w:val="28"/>
          <w:szCs w:val="28"/>
        </w:rPr>
        <w:t xml:space="preserve">объекта культурного наследия</w:t>
      </w:r>
      <w:r>
        <w:rPr>
          <w:spacing w:val="-2"/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numPr>
          <w:ilvl w:val="0"/>
          <w:numId w:val="31"/>
        </w:numPr>
        <w:contextualSpacing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восстановлению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исторического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характера благоустройства и озеленения территории </w:t>
      </w:r>
      <w:r>
        <w:rPr>
          <w:sz w:val="28"/>
          <w:szCs w:val="28"/>
        </w:rPr>
        <w:t xml:space="preserve">объекта культурного наследия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numPr>
          <w:ilvl w:val="0"/>
          <w:numId w:val="3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санитарно-оздоровительных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лечебных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всем </w:t>
      </w:r>
      <w:r>
        <w:rPr>
          <w:sz w:val="28"/>
          <w:szCs w:val="28"/>
        </w:rPr>
        <w:t xml:space="preserve">старовозрастным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насаждениям,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предварительных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дендрологических </w:t>
      </w:r>
      <w:r>
        <w:rPr>
          <w:spacing w:val="-2"/>
          <w:sz w:val="28"/>
          <w:szCs w:val="28"/>
        </w:rPr>
        <w:t xml:space="preserve">исследований;</w:t>
      </w:r>
      <w:r>
        <w:rPr>
          <w:sz w:val="28"/>
          <w:szCs w:val="28"/>
        </w:rPr>
      </w:r>
    </w:p>
    <w:p>
      <w:pPr>
        <w:numPr>
          <w:ilvl w:val="0"/>
          <w:numId w:val="3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прокладка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подземных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инженерных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коммуникаций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последующей рекультивацией нарушенных участков;</w:t>
      </w:r>
      <w:r>
        <w:rPr>
          <w:sz w:val="28"/>
          <w:szCs w:val="28"/>
        </w:rPr>
      </w:r>
    </w:p>
    <w:p>
      <w:pPr>
        <w:numPr>
          <w:ilvl w:val="0"/>
          <w:numId w:val="3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размещение объектов, необходимых для инженерного обеспечения территории </w:t>
      </w:r>
      <w:r>
        <w:rPr>
          <w:sz w:val="28"/>
          <w:szCs w:val="28"/>
        </w:rPr>
        <w:t xml:space="preserve">объекта культурного наследия</w:t>
      </w:r>
      <w:r>
        <w:rPr>
          <w:sz w:val="28"/>
          <w:szCs w:val="28"/>
        </w:rPr>
        <w:t xml:space="preserve"> и существующих объектов капитального строительства в ее границах;</w:t>
      </w:r>
      <w:r>
        <w:rPr>
          <w:sz w:val="28"/>
          <w:szCs w:val="28"/>
        </w:rPr>
      </w:r>
    </w:p>
    <w:p>
      <w:pPr>
        <w:numPr>
          <w:ilvl w:val="0"/>
          <w:numId w:val="3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и реконструкция существующих инженерных коммуникаций;</w:t>
      </w:r>
      <w:r>
        <w:rPr>
          <w:sz w:val="28"/>
          <w:szCs w:val="28"/>
        </w:rPr>
      </w:r>
    </w:p>
    <w:p>
      <w:pPr>
        <w:numPr>
          <w:ilvl w:val="0"/>
          <w:numId w:val="31"/>
        </w:numPr>
        <w:ind w:left="426" w:right="135"/>
        <w:jc w:val="both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проведение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72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оборудованию</w:t>
      </w:r>
      <w:r>
        <w:rPr>
          <w:spacing w:val="72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территории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объекта культурного наследия</w:t>
      </w:r>
      <w:r>
        <w:rPr>
          <w:spacing w:val="73"/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элементами освещения, необходимыми для его функционирования;</w:t>
      </w:r>
      <w:r>
        <w:rPr>
          <w:sz w:val="28"/>
          <w:szCs w:val="28"/>
        </w:rPr>
      </w:r>
    </w:p>
    <w:p>
      <w:pPr>
        <w:numPr>
          <w:ilvl w:val="0"/>
          <w:numId w:val="3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мер пожарной безопасности;</w:t>
      </w:r>
      <w:r>
        <w:rPr>
          <w:sz w:val="28"/>
          <w:szCs w:val="28"/>
        </w:rPr>
      </w:r>
    </w:p>
    <w:p>
      <w:pPr>
        <w:numPr>
          <w:ilvl w:val="0"/>
          <w:numId w:val="3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установка информационных знаков и указателей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numPr>
          <w:ilvl w:val="0"/>
          <w:numId w:val="3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работ по выявлению и научному изучению объектов археологического наследия (археологические полевые работы - раскопки, разведки) на основании разрешения (открытого листа) с обязательной рекультивацией участков раскопок.</w:t>
      </w:r>
      <w:r>
        <w:rPr>
          <w:sz w:val="28"/>
          <w:szCs w:val="28"/>
        </w:rPr>
      </w:r>
    </w:p>
    <w:p>
      <w:pPr>
        <w:jc w:val="both"/>
        <w:rPr>
          <w:color w:val="1b1b1b"/>
          <w:sz w:val="28"/>
          <w:szCs w:val="28"/>
          <w:shd w:val="clear" w:color="auto" w:fill="ffffff"/>
        </w:rPr>
      </w:pPr>
      <w:r>
        <w:rPr>
          <w:color w:val="1b1b1b"/>
          <w:sz w:val="28"/>
          <w:szCs w:val="28"/>
          <w:shd w:val="clear" w:color="auto" w:fill="ffffff"/>
        </w:rPr>
      </w:r>
      <w:r>
        <w:rPr>
          <w:color w:val="1b1b1b"/>
          <w:sz w:val="28"/>
          <w:szCs w:val="28"/>
          <w:shd w:val="clear" w:color="auto" w:fill="ffffff"/>
        </w:rPr>
      </w:r>
    </w:p>
    <w:p>
      <w:pPr>
        <w:jc w:val="both"/>
        <w:rPr>
          <w:color w:val="1b1b1b"/>
          <w:sz w:val="28"/>
          <w:szCs w:val="28"/>
          <w:u w:val="single"/>
          <w:shd w:val="clear" w:color="auto" w:fill="ffffff"/>
        </w:rPr>
      </w:pPr>
      <w:r>
        <w:rPr>
          <w:color w:val="1b1b1b"/>
          <w:sz w:val="28"/>
          <w:szCs w:val="28"/>
          <w:u w:val="single"/>
          <w:shd w:val="clear" w:color="auto" w:fill="ffffff"/>
        </w:rPr>
        <w:t xml:space="preserve">Запрещается</w:t>
      </w:r>
      <w:r>
        <w:rPr>
          <w:color w:val="1b1b1b"/>
          <w:sz w:val="28"/>
          <w:szCs w:val="28"/>
          <w:u w:val="single"/>
          <w:shd w:val="clear" w:color="auto" w:fill="ffffff"/>
        </w:rPr>
        <w:t xml:space="preserve">:</w:t>
      </w:r>
      <w:r>
        <w:rPr>
          <w:color w:val="1b1b1b"/>
          <w:sz w:val="28"/>
          <w:szCs w:val="28"/>
          <w:u w:val="single"/>
          <w:shd w:val="clear" w:color="auto" w:fill="ffffff"/>
        </w:rPr>
      </w:r>
    </w:p>
    <w:p>
      <w:pPr>
        <w:numPr>
          <w:ilvl w:val="0"/>
          <w:numId w:val="32"/>
        </w:numPr>
        <w:ind w:left="426"/>
        <w:jc w:val="both"/>
        <w:rPr>
          <w:sz w:val="28"/>
          <w:szCs w:val="28"/>
        </w:rPr>
      </w:pPr>
      <w:r/>
      <w:bookmarkStart w:id="9" w:name="8"/>
      <w:r/>
      <w:bookmarkEnd w:id="9"/>
      <w:r>
        <w:rPr>
          <w:sz w:val="28"/>
          <w:szCs w:val="28"/>
        </w:rPr>
        <w:t xml:space="preserve">любое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строительство,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не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связанное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восстановлением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утраченных исторических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объекта культурного наследия</w:t>
      </w:r>
      <w:r>
        <w:rPr>
          <w:sz w:val="28"/>
          <w:szCs w:val="28"/>
        </w:rPr>
        <w:t xml:space="preserve">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исключением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временных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построек,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необходимых для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реставрационных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работ,</w:t>
      </w:r>
      <w:r>
        <w:rPr>
          <w:spacing w:val="11"/>
          <w:sz w:val="28"/>
          <w:szCs w:val="28"/>
        </w:rPr>
        <w:t xml:space="preserve"> </w:t>
      </w:r>
      <w:r>
        <w:rPr>
          <w:spacing w:val="11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объектов,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необходимых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инженерного обеспечения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территории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объекта культурного наследия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 xml:space="preserve">существующих объектов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 xml:space="preserve">капитального строительства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 ее границах;</w:t>
      </w:r>
      <w:r>
        <w:rPr>
          <w:sz w:val="28"/>
          <w:szCs w:val="28"/>
        </w:rPr>
      </w:r>
    </w:p>
    <w:p>
      <w:pPr>
        <w:numPr>
          <w:ilvl w:val="0"/>
          <w:numId w:val="3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хозяйственная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деятельность,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ведущая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разрушению,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искажению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внешнего облика </w:t>
      </w:r>
      <w:r>
        <w:rPr>
          <w:sz w:val="28"/>
          <w:szCs w:val="28"/>
        </w:rPr>
        <w:t xml:space="preserve">объекта культурного наследия</w:t>
      </w:r>
      <w:r>
        <w:rPr>
          <w:sz w:val="28"/>
          <w:szCs w:val="28"/>
        </w:rPr>
        <w:t xml:space="preserve"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нарушающая его целостность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и создающая угрозу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повреждения, разрушения или уничтожения, </w:t>
      </w:r>
      <w:r>
        <w:rPr>
          <w:color w:val="001d35"/>
          <w:sz w:val="28"/>
          <w:szCs w:val="28"/>
          <w:shd w:val="clear" w:color="auto" w:fill="ffffff"/>
        </w:rPr>
        <w:t xml:space="preserve">проведение работ, направленных на изменение предмета охраны </w:t>
      </w:r>
      <w:r>
        <w:rPr>
          <w:color w:val="001d35"/>
          <w:sz w:val="28"/>
          <w:szCs w:val="28"/>
          <w:shd w:val="clear" w:color="auto" w:fill="ffffff"/>
        </w:rPr>
        <w:t xml:space="preserve">объекта культурного наследия</w:t>
      </w:r>
      <w:r>
        <w:rPr>
          <w:color w:val="001d35"/>
          <w:sz w:val="28"/>
          <w:szCs w:val="28"/>
          <w:shd w:val="clear" w:color="auto" w:fill="ffffff"/>
        </w:rPr>
        <w:t xml:space="preserve">;</w:t>
      </w:r>
      <w:r>
        <w:rPr>
          <w:sz w:val="28"/>
          <w:szCs w:val="28"/>
        </w:rPr>
      </w:r>
    </w:p>
    <w:p>
      <w:pPr>
        <w:numPr>
          <w:ilvl w:val="0"/>
          <w:numId w:val="3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самовольная посадка и вырубка зеленых насаждений;</w:t>
      </w:r>
      <w:r>
        <w:rPr>
          <w:sz w:val="28"/>
          <w:szCs w:val="28"/>
        </w:rPr>
      </w:r>
    </w:p>
    <w:p>
      <w:pPr>
        <w:numPr>
          <w:ilvl w:val="0"/>
          <w:numId w:val="32"/>
        </w:numPr>
        <w:ind w:left="426" w:right="140"/>
        <w:jc w:val="both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изменение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исторической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планировочной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структуры,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благоустройство, связанное с изменением исторического облика территории </w:t>
      </w:r>
      <w:r>
        <w:rPr>
          <w:sz w:val="28"/>
          <w:szCs w:val="28"/>
        </w:rPr>
        <w:t xml:space="preserve">объекта культурного наследия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numPr>
          <w:ilvl w:val="0"/>
          <w:numId w:val="3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размещение любых рекламных конструкций на территории </w:t>
      </w:r>
      <w:r>
        <w:rPr>
          <w:sz w:val="28"/>
          <w:szCs w:val="28"/>
        </w:rPr>
        <w:t xml:space="preserve">объекта культурного наследия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numPr>
          <w:ilvl w:val="0"/>
          <w:numId w:val="32"/>
        </w:numPr>
        <w:ind w:left="426"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установка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 xml:space="preserve">фасадах,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 xml:space="preserve">крышах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объекта культурного наследия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средств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технического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обеспечения, в том числе кондиционеров, телеантенн, тарелок спутниковой связи;</w:t>
      </w:r>
      <w:r>
        <w:rPr>
          <w:sz w:val="28"/>
          <w:szCs w:val="28"/>
        </w:rPr>
      </w:r>
    </w:p>
    <w:p>
      <w:pPr>
        <w:numPr>
          <w:ilvl w:val="0"/>
          <w:numId w:val="3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установка вышек и антенн сотовой связи;</w:t>
      </w:r>
      <w:r>
        <w:rPr>
          <w:sz w:val="28"/>
          <w:szCs w:val="28"/>
        </w:rPr>
      </w:r>
    </w:p>
    <w:p>
      <w:pPr>
        <w:numPr>
          <w:ilvl w:val="0"/>
          <w:numId w:val="32"/>
        </w:numPr>
        <w:ind w:left="426" w:right="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прокладка дорог и организация автостоянок для постоянного местонахождения автомобилей;</w:t>
      </w:r>
      <w:r>
        <w:rPr>
          <w:sz w:val="28"/>
          <w:szCs w:val="28"/>
        </w:rPr>
      </w:r>
    </w:p>
    <w:p>
      <w:pPr>
        <w:numPr>
          <w:ilvl w:val="0"/>
          <w:numId w:val="32"/>
        </w:numPr>
        <w:ind w:left="426" w:right="136"/>
        <w:jc w:val="both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прокладка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наземных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инженерных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коммуникаций,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том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числе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воздушных линий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электропередач,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кроме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временных,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ремонтно- реставрационных работ;</w:t>
      </w:r>
      <w:r>
        <w:rPr>
          <w:sz w:val="28"/>
          <w:szCs w:val="28"/>
        </w:rPr>
      </w:r>
    </w:p>
    <w:p>
      <w:pPr>
        <w:numPr>
          <w:ilvl w:val="0"/>
          <w:numId w:val="32"/>
        </w:numPr>
        <w:ind w:left="426" w:right="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динамическое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воздействие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грунты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транспорта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производства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 различного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 xml:space="preserve">типа,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создающее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разрушающие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 xml:space="preserve">вибрационные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нагрузки,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 xml:space="preserve">зоне их взаимодействия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объект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культурного наследия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numPr>
          <w:ilvl w:val="0"/>
          <w:numId w:val="3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всех видов земляных работ без археологической разведки.</w:t>
      </w:r>
      <w:r>
        <w:rPr>
          <w:sz w:val="28"/>
          <w:szCs w:val="28"/>
        </w:rPr>
      </w:r>
    </w:p>
    <w:p>
      <w:pPr>
        <w:ind w:firstLine="852"/>
        <w:jc w:val="both"/>
        <w:tabs>
          <w:tab w:val="left" w:pos="70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 2</w:t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Приказу комитета по сохранению</w:t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культурного наследия Ленинградской области </w:t>
      </w:r>
      <w:r>
        <w:rPr>
          <w:sz w:val="26"/>
          <w:szCs w:val="26"/>
        </w:rPr>
      </w:r>
    </w:p>
    <w:p>
      <w:pPr>
        <w:contextualSpacing/>
        <w:jc w:val="right"/>
        <w:rPr>
          <w:sz w:val="28"/>
          <w:szCs w:val="28"/>
        </w:rPr>
      </w:pPr>
      <w:r>
        <w:rPr>
          <w:sz w:val="26"/>
          <w:szCs w:val="26"/>
        </w:rPr>
        <w:t xml:space="preserve">от «__» ________ 2026 года № ______________</w:t>
      </w:r>
      <w:r>
        <w:rPr>
          <w:sz w:val="28"/>
          <w:szCs w:val="28"/>
        </w:rPr>
      </w:r>
    </w:p>
    <w:p>
      <w:pPr>
        <w:tabs>
          <w:tab w:val="left" w:pos="550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tabs>
          <w:tab w:val="left" w:pos="550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tabs>
          <w:tab w:val="left" w:pos="550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 охраны</w:t>
      </w:r>
      <w:r>
        <w:rPr>
          <w:b/>
          <w:sz w:val="28"/>
          <w:szCs w:val="28"/>
        </w:rPr>
      </w:r>
    </w:p>
    <w:p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объекта культурного наследия регионального значения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«Дот пулеметный», по адресу: Ленинградская область,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Выборгский район, о</w:t>
      </w:r>
      <w:r>
        <w:rPr>
          <w:b/>
          <w:bCs/>
          <w:sz w:val="28"/>
          <w:szCs w:val="28"/>
        </w:rPr>
        <w:t xml:space="preserve">стров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Вихревой, южная оконечност</w:t>
      </w:r>
      <w:r>
        <w:rPr>
          <w:b/>
          <w:bCs/>
          <w:sz w:val="28"/>
          <w:szCs w:val="28"/>
        </w:rPr>
        <w:t xml:space="preserve">ь</w:t>
      </w:r>
      <w:r>
        <w:rPr>
          <w:b/>
          <w:bCs/>
          <w:sz w:val="28"/>
          <w:szCs w:val="28"/>
        </w:rPr>
      </w:r>
    </w:p>
    <w:p>
      <w:pPr>
        <w:contextualSpacing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tbl>
      <w:tblPr>
        <w:tblStyle w:val="767"/>
        <w:tblW w:w="101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118"/>
        <w:gridCol w:w="415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№</w:t>
            </w:r>
            <w:r/>
          </w:p>
          <w:p>
            <w:pPr>
              <w:jc w:val="center"/>
            </w:pPr>
            <w:r>
              <w:t xml:space="preserve">пп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</w:pPr>
            <w:r>
              <w:t xml:space="preserve">Видовая принадлежность предмета охраны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center"/>
            </w:pPr>
            <w:r>
              <w:t xml:space="preserve">Предмет охраны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9" w:type="dxa"/>
            <w:textDirection w:val="lrTb"/>
            <w:noWrap w:val="false"/>
          </w:tcPr>
          <w:p>
            <w:pPr>
              <w:jc w:val="center"/>
            </w:pPr>
            <w:r>
              <w:t xml:space="preserve">Фотофиксация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9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</w:tr>
      <w:tr>
        <w:tblPrEx/>
        <w:trPr>
          <w:trHeight w:val="31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</w:pPr>
            <w:r>
              <w:t xml:space="preserve">Градостроительные характеристики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both"/>
            </w:pPr>
            <w:r>
              <w:t xml:space="preserve">Местоположение объекта </w:t>
            </w:r>
            <w:r>
              <w:br/>
            </w:r>
            <w:r>
              <w:t xml:space="preserve">на южной оконечности </w:t>
            </w:r>
            <w:r>
              <w:br/>
            </w:r>
            <w:r>
              <w:t xml:space="preserve">о. Вихревой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9" w:type="dxa"/>
            <w:textDirection w:val="lrTb"/>
            <w:noWrap w:val="false"/>
          </w:tcPr>
          <w:p>
            <w:r/>
            <w:r/>
          </w:p>
          <w:p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54910" cy="1607820"/>
                      <wp:effectExtent l="0" t="0" r="2540" b="0"/>
                      <wp:docPr id="6" name="Рисунок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67386" cy="1615991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93.30pt;height:126.6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  <w:p>
            <w:r/>
            <w:r/>
          </w:p>
          <w:p>
            <w:r/>
            <w:r/>
          </w:p>
        </w:tc>
      </w:tr>
      <w:tr>
        <w:tblPrEx/>
        <w:trPr>
          <w:trHeight w:val="25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</w:pPr>
            <w:r>
              <w:t xml:space="preserve">Объемно-пространственная композиция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959"/>
              <w:jc w:val="both"/>
              <w:spacing w:after="60" w:line="240" w:lineRule="auto"/>
              <w:tabs>
                <w:tab w:val="left" w:pos="262" w:leader="none"/>
              </w:tabs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 xml:space="preserve">1-этажный сложный в плане 3-х амбразурный дот</w:t>
            </w:r>
            <w:r>
              <w:rPr>
                <w:i w:val="0"/>
                <w:i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84120" cy="1865730"/>
                      <wp:effectExtent l="0" t="0" r="0" b="1270"/>
                      <wp:docPr id="7" name="Рисунок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96957" cy="1875372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95.60pt;height:146.91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48067" cy="1584960"/>
                      <wp:effectExtent l="0" t="0" r="0" b="0"/>
                      <wp:docPr id="8" name="Рисунок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71546" cy="1601513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177.01pt;height:124.80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</w:pPr>
            <w:r>
              <w:t xml:space="preserve">Конструктивные элементы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фундаменты; 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подлинные ж/б стены;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ж/б перемычки;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материал – железобетон</w:t>
            </w:r>
            <w:r>
              <w:rPr>
                <w:bCs/>
              </w:rPr>
              <w:t xml:space="preserve">;</w:t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both"/>
            </w:pPr>
            <w:r/>
            <w:r/>
          </w:p>
          <w:p>
            <w:pPr>
              <w:jc w:val="both"/>
            </w:pPr>
            <w:r>
              <w:t xml:space="preserve">м</w:t>
            </w:r>
            <w:r>
              <w:t xml:space="preserve">естоположение, форма и размер амбразур</w:t>
            </w:r>
            <w: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9" w:type="dxa"/>
            <w:textDirection w:val="lrTb"/>
            <w:noWrap w:val="false"/>
          </w:tcPr>
          <w:p>
            <w:r/>
            <w:r/>
          </w:p>
          <w:p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21483" cy="3230472"/>
                      <wp:effectExtent l="0" t="0" r="0" b="8255"/>
                      <wp:docPr id="9" name="Рисунок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33305" cy="324624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190.67pt;height:254.37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98090" cy="1402283"/>
                      <wp:effectExtent l="0" t="0" r="0" b="7620"/>
                      <wp:docPr id="10" name="Рисунок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20858" cy="14150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196.70pt;height:110.42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  <w:p>
            <w:r/>
            <w:r/>
          </w:p>
          <w:p>
            <w:r/>
            <w:r/>
          </w:p>
        </w:tc>
      </w:tr>
    </w:tbl>
    <w:p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852"/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-170" w:right="-3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Предмет охраны может быть уточнен в процессе историко-культурных и реставрационных исследований, реставрационных работ.</w:t>
      </w:r>
      <w:r>
        <w:rPr>
          <w:sz w:val="26"/>
          <w:szCs w:val="26"/>
        </w:rPr>
      </w:r>
    </w:p>
    <w:p>
      <w:pPr>
        <w:ind w:left="-170" w:right="-34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</w:r>
      <w:r>
        <w:rPr>
          <w:i/>
          <w:iCs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SOCPEUR">
    <w:panose1 w:val="02000603000000000000"/>
  </w:font>
  <w:font w:name="Symbol">
    <w:panose1 w:val="05010000000000000000"/>
  </w:font>
  <w:font w:name="Bookman Old Style">
    <w:panose1 w:val="02060603050605020204"/>
  </w:font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MS Mincho">
    <w:panose1 w:val="02070609020205090404"/>
  </w:font>
  <w:font w:name="Wingdings">
    <w:panose1 w:val="05010000000000000000"/>
  </w:font>
  <w:font w:name="Franklin Gothic Book">
    <w:panose1 w:val="020B0603020202020204"/>
  </w:font>
  <w:font w:name="Verdan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644" w:hanging="360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8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0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4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6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59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59" w:hanging="360"/>
      </w:pPr>
      <w:rPr>
        <w:rFonts w:hint="default" w:ascii="Times New Roman" w:hAnsi="Times New Roman" w:eastAsia="Times New Roman" w:cs="Times New Roman"/>
        <w:color w:val="1b1b1b"/>
      </w:rPr>
    </w:lvl>
    <w:lvl w:ilvl="1">
      <w:start w:val="1"/>
      <w:numFmt w:val="lowerLetter"/>
      <w:isLgl w:val="false"/>
      <w:suff w:val="tab"/>
      <w:lvlText w:val="%2."/>
      <w:lvlJc w:val="left"/>
      <w:pPr>
        <w:ind w:left="147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9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2"/>
  </w:num>
  <w:num w:numId="2">
    <w:abstractNumId w:val="24"/>
  </w:num>
  <w:num w:numId="3">
    <w:abstractNumId w:val="21"/>
  </w:num>
  <w:num w:numId="4">
    <w:abstractNumId w:val="16"/>
  </w:num>
  <w:num w:numId="5">
    <w:abstractNumId w:val="30"/>
  </w:num>
  <w:num w:numId="6">
    <w:abstractNumId w:val="3"/>
  </w:num>
  <w:num w:numId="7">
    <w:abstractNumId w:val="31"/>
  </w:num>
  <w:num w:numId="8">
    <w:abstractNumId w:val="23"/>
  </w:num>
  <w:num w:numId="9">
    <w:abstractNumId w:val="8"/>
  </w:num>
  <w:num w:numId="10">
    <w:abstractNumId w:val="33"/>
  </w:num>
  <w:num w:numId="11">
    <w:abstractNumId w:val="22"/>
  </w:num>
  <w:num w:numId="12">
    <w:abstractNumId w:val="27"/>
  </w:num>
  <w:num w:numId="13">
    <w:abstractNumId w:val="11"/>
  </w:num>
  <w:num w:numId="14">
    <w:abstractNumId w:val="4"/>
  </w:num>
  <w:num w:numId="15">
    <w:abstractNumId w:val="6"/>
  </w:num>
  <w:num w:numId="16">
    <w:abstractNumId w:val="5"/>
  </w:num>
  <w:num w:numId="17">
    <w:abstractNumId w:val="1"/>
  </w:num>
  <w:num w:numId="18">
    <w:abstractNumId w:val="29"/>
  </w:num>
  <w:num w:numId="19">
    <w:abstractNumId w:val="14"/>
  </w:num>
  <w:num w:numId="20">
    <w:abstractNumId w:val="7"/>
  </w:num>
  <w:num w:numId="21">
    <w:abstractNumId w:val="17"/>
  </w:num>
  <w:num w:numId="22">
    <w:abstractNumId w:val="26"/>
  </w:num>
  <w:num w:numId="23">
    <w:abstractNumId w:val="25"/>
  </w:num>
  <w:num w:numId="24">
    <w:abstractNumId w:val="0"/>
  </w:num>
  <w:num w:numId="25">
    <w:abstractNumId w:val="13"/>
  </w:num>
  <w:num w:numId="26">
    <w:abstractNumId w:val="2"/>
  </w:num>
  <w:num w:numId="27">
    <w:abstractNumId w:val="12"/>
  </w:num>
  <w:num w:numId="28">
    <w:abstractNumId w:val="9"/>
  </w:num>
  <w:num w:numId="29">
    <w:abstractNumId w:val="20"/>
  </w:num>
  <w:num w:numId="30">
    <w:abstractNumId w:val="10"/>
  </w:num>
  <w:num w:numId="31">
    <w:abstractNumId w:val="28"/>
  </w:num>
  <w:num w:numId="32">
    <w:abstractNumId w:val="18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2" w:default="1">
    <w:name w:val="Normal"/>
    <w:qFormat/>
    <w:rPr>
      <w:sz w:val="24"/>
      <w:szCs w:val="24"/>
      <w:lang w:eastAsia="ru-RU"/>
    </w:rPr>
  </w:style>
  <w:style w:type="paragraph" w:styleId="723">
    <w:name w:val="Heading 1"/>
    <w:basedOn w:val="722"/>
    <w:next w:val="722"/>
    <w:link w:val="743"/>
    <w:qFormat/>
    <w:pPr>
      <w:jc w:val="center"/>
      <w:keepNext/>
      <w:outlineLvl w:val="0"/>
    </w:pPr>
    <w:rPr>
      <w:b/>
      <w:sz w:val="22"/>
      <w:szCs w:val="20"/>
    </w:rPr>
  </w:style>
  <w:style w:type="paragraph" w:styleId="724">
    <w:name w:val="Heading 2"/>
    <w:basedOn w:val="722"/>
    <w:next w:val="722"/>
    <w:link w:val="922"/>
    <w:qFormat/>
    <w:pPr>
      <w:jc w:val="both"/>
      <w:keepNext/>
      <w:outlineLvl w:val="1"/>
    </w:pPr>
    <w:rPr>
      <w:sz w:val="28"/>
      <w:szCs w:val="20"/>
      <w:lang w:val="en-US" w:eastAsia="en-US"/>
    </w:rPr>
  </w:style>
  <w:style w:type="paragraph" w:styleId="725">
    <w:name w:val="Heading 3"/>
    <w:basedOn w:val="722"/>
    <w:next w:val="722"/>
    <w:link w:val="923"/>
    <w:qFormat/>
    <w:pPr>
      <w:ind w:right="-381"/>
      <w:keepNext/>
      <w:tabs>
        <w:tab w:val="left" w:pos="-142" w:leader="none"/>
      </w:tabs>
      <w:outlineLvl w:val="2"/>
    </w:pPr>
    <w:rPr>
      <w:sz w:val="28"/>
      <w:szCs w:val="20"/>
      <w:lang w:val="en-US" w:eastAsia="en-US"/>
    </w:rPr>
  </w:style>
  <w:style w:type="paragraph" w:styleId="726">
    <w:name w:val="Heading 4"/>
    <w:basedOn w:val="722"/>
    <w:next w:val="722"/>
    <w:link w:val="91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727">
    <w:name w:val="Heading 5"/>
    <w:basedOn w:val="722"/>
    <w:next w:val="722"/>
    <w:link w:val="924"/>
    <w:qFormat/>
    <w:pPr>
      <w:ind w:right="567"/>
      <w:keepNext/>
      <w:tabs>
        <w:tab w:val="left" w:pos="-142" w:leader="none"/>
      </w:tabs>
      <w:outlineLvl w:val="4"/>
    </w:pPr>
    <w:rPr>
      <w:sz w:val="28"/>
      <w:szCs w:val="20"/>
      <w:lang w:val="en-US" w:eastAsia="en-US"/>
    </w:rPr>
  </w:style>
  <w:style w:type="paragraph" w:styleId="728">
    <w:name w:val="Heading 6"/>
    <w:basedOn w:val="722"/>
    <w:next w:val="722"/>
    <w:link w:val="925"/>
    <w:qFormat/>
    <w:pPr>
      <w:ind w:left="112" w:hanging="112"/>
      <w:keepNext/>
      <w:outlineLvl w:val="5"/>
    </w:pPr>
    <w:rPr>
      <w:color w:val="000000"/>
      <w:szCs w:val="20"/>
      <w:lang w:val="en-US" w:eastAsia="en-US"/>
    </w:rPr>
  </w:style>
  <w:style w:type="paragraph" w:styleId="729">
    <w:name w:val="Heading 7"/>
    <w:basedOn w:val="722"/>
    <w:next w:val="722"/>
    <w:link w:val="926"/>
    <w:qFormat/>
    <w:pPr>
      <w:jc w:val="center"/>
      <w:keepNext/>
      <w:outlineLvl w:val="6"/>
    </w:pPr>
    <w:rPr>
      <w:b/>
      <w:color w:val="000000"/>
      <w:szCs w:val="20"/>
      <w:lang w:val="en-US" w:eastAsia="en-US"/>
    </w:rPr>
  </w:style>
  <w:style w:type="paragraph" w:styleId="730">
    <w:name w:val="Heading 8"/>
    <w:basedOn w:val="722"/>
    <w:next w:val="722"/>
    <w:link w:val="927"/>
    <w:qFormat/>
    <w:pPr>
      <w:ind w:right="-99"/>
      <w:keepNext/>
      <w:outlineLvl w:val="7"/>
    </w:pPr>
    <w:rPr>
      <w:b/>
      <w:sz w:val="28"/>
      <w:szCs w:val="20"/>
      <w:lang w:val="en-US" w:eastAsia="en-US"/>
    </w:rPr>
  </w:style>
  <w:style w:type="paragraph" w:styleId="731">
    <w:name w:val="Heading 9"/>
    <w:basedOn w:val="722"/>
    <w:next w:val="722"/>
    <w:link w:val="928"/>
    <w:qFormat/>
    <w:pPr>
      <w:jc w:val="both"/>
      <w:keepNext/>
      <w:outlineLvl w:val="8"/>
    </w:pPr>
    <w:rPr>
      <w:b/>
      <w:sz w:val="28"/>
      <w:szCs w:val="20"/>
      <w:lang w:val="en-US" w:eastAsia="en-US"/>
    </w:rPr>
  </w:style>
  <w:style w:type="character" w:styleId="732" w:default="1">
    <w:name w:val="Default Paragraph Font"/>
    <w:uiPriority w:val="1"/>
    <w:semiHidden/>
    <w:unhideWhenUsed/>
  </w:style>
  <w:style w:type="table" w:styleId="7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4" w:default="1">
    <w:name w:val="No List"/>
    <w:uiPriority w:val="99"/>
    <w:semiHidden/>
    <w:unhideWhenUsed/>
  </w:style>
  <w:style w:type="character" w:styleId="735" w:customStyle="1">
    <w:name w:val="Heading 1 Char"/>
    <w:basedOn w:val="732"/>
    <w:uiPriority w:val="9"/>
    <w:rPr>
      <w:rFonts w:ascii="Arial" w:hAnsi="Arial" w:eastAsia="Arial" w:cs="Arial"/>
      <w:sz w:val="40"/>
      <w:szCs w:val="40"/>
    </w:rPr>
  </w:style>
  <w:style w:type="character" w:styleId="736" w:customStyle="1">
    <w:name w:val="Title Char"/>
    <w:basedOn w:val="732"/>
    <w:uiPriority w:val="10"/>
    <w:rPr>
      <w:sz w:val="48"/>
      <w:szCs w:val="48"/>
    </w:rPr>
  </w:style>
  <w:style w:type="character" w:styleId="737" w:customStyle="1">
    <w:name w:val="Subtitle Char"/>
    <w:basedOn w:val="732"/>
    <w:uiPriority w:val="11"/>
    <w:rPr>
      <w:sz w:val="24"/>
      <w:szCs w:val="24"/>
    </w:rPr>
  </w:style>
  <w:style w:type="character" w:styleId="738" w:customStyle="1">
    <w:name w:val="Quote Char"/>
    <w:uiPriority w:val="29"/>
    <w:rPr>
      <w:i/>
    </w:rPr>
  </w:style>
  <w:style w:type="character" w:styleId="739" w:customStyle="1">
    <w:name w:val="Intense Quote Char"/>
    <w:uiPriority w:val="30"/>
    <w:rPr>
      <w:i/>
    </w:rPr>
  </w:style>
  <w:style w:type="character" w:styleId="740" w:customStyle="1">
    <w:name w:val="Caption Char"/>
    <w:basedOn w:val="732"/>
    <w:uiPriority w:val="35"/>
    <w:rPr>
      <w:b/>
      <w:bCs/>
      <w:color w:val="4f81bd" w:themeColor="accent1"/>
      <w:sz w:val="18"/>
      <w:szCs w:val="18"/>
    </w:rPr>
  </w:style>
  <w:style w:type="character" w:styleId="741" w:customStyle="1">
    <w:name w:val="Footnote Text Char"/>
    <w:uiPriority w:val="99"/>
    <w:rPr>
      <w:sz w:val="18"/>
    </w:rPr>
  </w:style>
  <w:style w:type="character" w:styleId="742" w:customStyle="1">
    <w:name w:val="Endnote Text Char"/>
    <w:uiPriority w:val="99"/>
    <w:rPr>
      <w:sz w:val="20"/>
    </w:rPr>
  </w:style>
  <w:style w:type="character" w:styleId="743" w:customStyle="1">
    <w:name w:val="Заголовок 1 Знак"/>
    <w:link w:val="723"/>
    <w:uiPriority w:val="9"/>
    <w:rPr>
      <w:rFonts w:ascii="Arial" w:hAnsi="Arial" w:eastAsia="Arial" w:cs="Arial"/>
      <w:sz w:val="40"/>
      <w:szCs w:val="40"/>
    </w:rPr>
  </w:style>
  <w:style w:type="character" w:styleId="744" w:customStyle="1">
    <w:name w:val="Heading 2 Char"/>
    <w:uiPriority w:val="9"/>
    <w:rPr>
      <w:rFonts w:ascii="Arial" w:hAnsi="Arial" w:eastAsia="Arial" w:cs="Arial"/>
      <w:sz w:val="34"/>
    </w:rPr>
  </w:style>
  <w:style w:type="character" w:styleId="745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46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47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48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49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0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51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paragraph" w:styleId="752">
    <w:name w:val="No Spacing"/>
    <w:uiPriority w:val="1"/>
    <w:qFormat/>
  </w:style>
  <w:style w:type="paragraph" w:styleId="753">
    <w:name w:val="Title"/>
    <w:basedOn w:val="722"/>
    <w:next w:val="722"/>
    <w:link w:val="7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4" w:customStyle="1">
    <w:name w:val="Заголовок Знак"/>
    <w:link w:val="753"/>
    <w:uiPriority w:val="10"/>
    <w:rPr>
      <w:sz w:val="48"/>
      <w:szCs w:val="48"/>
    </w:rPr>
  </w:style>
  <w:style w:type="paragraph" w:styleId="755">
    <w:name w:val="Subtitle"/>
    <w:basedOn w:val="722"/>
    <w:next w:val="722"/>
    <w:link w:val="756"/>
    <w:uiPriority w:val="11"/>
    <w:qFormat/>
    <w:pPr>
      <w:spacing w:before="200" w:after="200"/>
    </w:pPr>
  </w:style>
  <w:style w:type="character" w:styleId="756" w:customStyle="1">
    <w:name w:val="Подзаголовок Знак"/>
    <w:link w:val="755"/>
    <w:uiPriority w:val="11"/>
    <w:rPr>
      <w:sz w:val="24"/>
      <w:szCs w:val="24"/>
    </w:rPr>
  </w:style>
  <w:style w:type="paragraph" w:styleId="757">
    <w:name w:val="Quote"/>
    <w:basedOn w:val="722"/>
    <w:next w:val="722"/>
    <w:link w:val="758"/>
    <w:uiPriority w:val="29"/>
    <w:qFormat/>
    <w:pPr>
      <w:ind w:left="720" w:right="720"/>
    </w:pPr>
    <w:rPr>
      <w:i/>
    </w:rPr>
  </w:style>
  <w:style w:type="character" w:styleId="758" w:customStyle="1">
    <w:name w:val="Цитата 2 Знак"/>
    <w:link w:val="757"/>
    <w:uiPriority w:val="29"/>
    <w:rPr>
      <w:i/>
    </w:rPr>
  </w:style>
  <w:style w:type="paragraph" w:styleId="759">
    <w:name w:val="Intense Quote"/>
    <w:basedOn w:val="722"/>
    <w:next w:val="722"/>
    <w:link w:val="76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0" w:customStyle="1">
    <w:name w:val="Выделенная цитата Знак"/>
    <w:link w:val="759"/>
    <w:uiPriority w:val="30"/>
    <w:rPr>
      <w:i/>
    </w:rPr>
  </w:style>
  <w:style w:type="paragraph" w:styleId="761">
    <w:name w:val="Header"/>
    <w:basedOn w:val="722"/>
    <w:link w:val="934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762" w:customStyle="1">
    <w:name w:val="Header Char"/>
    <w:uiPriority w:val="99"/>
  </w:style>
  <w:style w:type="paragraph" w:styleId="763">
    <w:name w:val="Footer"/>
    <w:basedOn w:val="722"/>
    <w:link w:val="937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764" w:customStyle="1">
    <w:name w:val="Footer Char"/>
    <w:uiPriority w:val="99"/>
  </w:style>
  <w:style w:type="paragraph" w:styleId="765">
    <w:name w:val="Caption"/>
    <w:basedOn w:val="722"/>
    <w:next w:val="722"/>
    <w:link w:val="76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6" w:customStyle="1">
    <w:name w:val="Название объекта Знак"/>
    <w:link w:val="765"/>
    <w:uiPriority w:val="35"/>
    <w:rPr>
      <w:b/>
      <w:bCs/>
      <w:color w:val="4f81bd" w:themeColor="accent1"/>
      <w:sz w:val="18"/>
      <w:szCs w:val="18"/>
    </w:rPr>
  </w:style>
  <w:style w:type="table" w:styleId="767">
    <w:name w:val="Table Grid"/>
    <w:basedOn w:val="733"/>
    <w:uiPriority w:val="39"/>
    <w:tblPr/>
  </w:style>
  <w:style w:type="table" w:styleId="768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2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4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6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7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8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9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0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1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9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0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1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2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3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4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5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9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0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1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2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3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4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5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3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4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5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6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7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8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9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0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1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2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3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4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5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6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7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8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9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0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1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2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93">
    <w:name w:val="Hyperlink"/>
    <w:uiPriority w:val="99"/>
    <w:unhideWhenUsed/>
    <w:rPr>
      <w:color w:val="0000ff" w:themeColor="hyperlink"/>
      <w:u w:val="single"/>
    </w:rPr>
  </w:style>
  <w:style w:type="paragraph" w:styleId="894">
    <w:name w:val="footnote text"/>
    <w:basedOn w:val="722"/>
    <w:link w:val="895"/>
    <w:uiPriority w:val="99"/>
    <w:semiHidden/>
    <w:unhideWhenUsed/>
    <w:pPr>
      <w:spacing w:after="40"/>
    </w:pPr>
    <w:rPr>
      <w:sz w:val="18"/>
    </w:rPr>
  </w:style>
  <w:style w:type="character" w:styleId="895" w:customStyle="1">
    <w:name w:val="Текст сноски Знак"/>
    <w:link w:val="894"/>
    <w:uiPriority w:val="99"/>
    <w:rPr>
      <w:sz w:val="18"/>
    </w:rPr>
  </w:style>
  <w:style w:type="character" w:styleId="896">
    <w:name w:val="footnote reference"/>
    <w:uiPriority w:val="99"/>
    <w:unhideWhenUsed/>
    <w:rPr>
      <w:vertAlign w:val="superscript"/>
    </w:rPr>
  </w:style>
  <w:style w:type="paragraph" w:styleId="897">
    <w:name w:val="endnote text"/>
    <w:basedOn w:val="722"/>
    <w:link w:val="898"/>
    <w:uiPriority w:val="99"/>
    <w:semiHidden/>
    <w:unhideWhenUsed/>
    <w:rPr>
      <w:sz w:val="20"/>
    </w:rPr>
  </w:style>
  <w:style w:type="character" w:styleId="898" w:customStyle="1">
    <w:name w:val="Текст концевой сноски Знак"/>
    <w:link w:val="897"/>
    <w:uiPriority w:val="99"/>
    <w:rPr>
      <w:sz w:val="20"/>
    </w:rPr>
  </w:style>
  <w:style w:type="character" w:styleId="899">
    <w:name w:val="endnote reference"/>
    <w:uiPriority w:val="99"/>
    <w:semiHidden/>
    <w:unhideWhenUsed/>
    <w:rPr>
      <w:vertAlign w:val="superscript"/>
    </w:rPr>
  </w:style>
  <w:style w:type="paragraph" w:styleId="900">
    <w:name w:val="toc 1"/>
    <w:basedOn w:val="722"/>
    <w:next w:val="722"/>
    <w:uiPriority w:val="39"/>
    <w:unhideWhenUsed/>
    <w:pPr>
      <w:spacing w:after="57"/>
    </w:pPr>
  </w:style>
  <w:style w:type="paragraph" w:styleId="901">
    <w:name w:val="toc 2"/>
    <w:basedOn w:val="722"/>
    <w:next w:val="722"/>
    <w:uiPriority w:val="39"/>
    <w:unhideWhenUsed/>
    <w:pPr>
      <w:ind w:left="283"/>
      <w:spacing w:after="57"/>
    </w:pPr>
  </w:style>
  <w:style w:type="paragraph" w:styleId="902">
    <w:name w:val="toc 3"/>
    <w:basedOn w:val="722"/>
    <w:next w:val="722"/>
    <w:uiPriority w:val="39"/>
    <w:unhideWhenUsed/>
    <w:pPr>
      <w:ind w:left="567"/>
      <w:spacing w:after="57"/>
    </w:pPr>
  </w:style>
  <w:style w:type="paragraph" w:styleId="903">
    <w:name w:val="toc 4"/>
    <w:basedOn w:val="722"/>
    <w:next w:val="722"/>
    <w:uiPriority w:val="39"/>
    <w:unhideWhenUsed/>
    <w:pPr>
      <w:ind w:left="850"/>
      <w:spacing w:after="57"/>
    </w:pPr>
  </w:style>
  <w:style w:type="paragraph" w:styleId="904">
    <w:name w:val="toc 5"/>
    <w:basedOn w:val="722"/>
    <w:next w:val="722"/>
    <w:uiPriority w:val="39"/>
    <w:unhideWhenUsed/>
    <w:pPr>
      <w:ind w:left="1134"/>
      <w:spacing w:after="57"/>
    </w:pPr>
  </w:style>
  <w:style w:type="paragraph" w:styleId="905">
    <w:name w:val="toc 6"/>
    <w:basedOn w:val="722"/>
    <w:next w:val="722"/>
    <w:uiPriority w:val="39"/>
    <w:unhideWhenUsed/>
    <w:pPr>
      <w:ind w:left="1417"/>
      <w:spacing w:after="57"/>
    </w:pPr>
  </w:style>
  <w:style w:type="paragraph" w:styleId="906">
    <w:name w:val="toc 7"/>
    <w:basedOn w:val="722"/>
    <w:next w:val="722"/>
    <w:uiPriority w:val="39"/>
    <w:unhideWhenUsed/>
    <w:pPr>
      <w:ind w:left="1701"/>
      <w:spacing w:after="57"/>
    </w:pPr>
  </w:style>
  <w:style w:type="paragraph" w:styleId="907">
    <w:name w:val="toc 8"/>
    <w:basedOn w:val="722"/>
    <w:next w:val="722"/>
    <w:uiPriority w:val="39"/>
    <w:unhideWhenUsed/>
    <w:pPr>
      <w:ind w:left="1984"/>
      <w:spacing w:after="57"/>
    </w:pPr>
  </w:style>
  <w:style w:type="paragraph" w:styleId="908">
    <w:name w:val="toc 9"/>
    <w:basedOn w:val="722"/>
    <w:next w:val="722"/>
    <w:uiPriority w:val="39"/>
    <w:unhideWhenUsed/>
    <w:pPr>
      <w:ind w:left="2268"/>
      <w:spacing w:after="57"/>
    </w:pPr>
  </w:style>
  <w:style w:type="paragraph" w:styleId="909">
    <w:name w:val="TOC Heading"/>
    <w:uiPriority w:val="39"/>
    <w:unhideWhenUsed/>
  </w:style>
  <w:style w:type="paragraph" w:styleId="910">
    <w:name w:val="table of figures"/>
    <w:basedOn w:val="722"/>
    <w:next w:val="722"/>
    <w:uiPriority w:val="99"/>
    <w:unhideWhenUsed/>
  </w:style>
  <w:style w:type="paragraph" w:styleId="911" w:customStyle="1">
    <w:name w:val="Знак Знак1 Знак Знак"/>
    <w:basedOn w:val="722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912" w:customStyle="1">
    <w:name w:val="ConsPlusNonformat"/>
    <w:pPr>
      <w:widowControl w:val="off"/>
    </w:pPr>
    <w:rPr>
      <w:rFonts w:ascii="Courier New" w:hAnsi="Courier New" w:cs="Courier New"/>
      <w:lang w:eastAsia="ru-RU"/>
    </w:rPr>
  </w:style>
  <w:style w:type="paragraph" w:styleId="913">
    <w:name w:val="List Paragraph"/>
    <w:basedOn w:val="722"/>
    <w:uiPriority w:val="99"/>
    <w:qFormat/>
    <w:pPr>
      <w:contextualSpacing/>
      <w:ind w:left="720"/>
    </w:pPr>
  </w:style>
  <w:style w:type="paragraph" w:styleId="914">
    <w:name w:val="Balloon Text"/>
    <w:basedOn w:val="722"/>
    <w:link w:val="915"/>
    <w:rPr>
      <w:rFonts w:ascii="Tahoma" w:hAnsi="Tahoma"/>
      <w:sz w:val="16"/>
      <w:szCs w:val="16"/>
      <w:lang w:val="en-US" w:eastAsia="en-US"/>
    </w:rPr>
  </w:style>
  <w:style w:type="character" w:styleId="915" w:customStyle="1">
    <w:name w:val="Текст выноски Знак"/>
    <w:link w:val="914"/>
    <w:rPr>
      <w:rFonts w:ascii="Tahoma" w:hAnsi="Tahoma" w:cs="Tahoma"/>
      <w:sz w:val="16"/>
      <w:szCs w:val="16"/>
    </w:rPr>
  </w:style>
  <w:style w:type="paragraph" w:styleId="916">
    <w:name w:val="Body Text Indent"/>
    <w:basedOn w:val="722"/>
    <w:link w:val="917"/>
    <w:pPr>
      <w:ind w:left="-284"/>
      <w:jc w:val="center"/>
      <w:spacing w:before="60"/>
    </w:pPr>
    <w:rPr>
      <w:b/>
      <w:spacing w:val="30"/>
      <w:szCs w:val="20"/>
      <w:lang w:val="en-US" w:eastAsia="en-US"/>
    </w:rPr>
  </w:style>
  <w:style w:type="character" w:styleId="917" w:customStyle="1">
    <w:name w:val="Основной текст с отступом Знак"/>
    <w:link w:val="916"/>
    <w:rPr>
      <w:b/>
      <w:spacing w:val="30"/>
      <w:sz w:val="24"/>
      <w:lang w:val="en-US" w:eastAsia="en-US"/>
    </w:rPr>
  </w:style>
  <w:style w:type="paragraph" w:styleId="918" w:customStyle="1">
    <w:name w:val="Знак Знак Знак1 Знак Знак Знак Знак Знак Знак1 Знак Знак Знак Знак"/>
    <w:basedOn w:val="722"/>
    <w:pPr>
      <w:keepLines/>
      <w:spacing w:after="160" w:line="240" w:lineRule="exact"/>
    </w:pPr>
    <w:rPr>
      <w:rFonts w:ascii="Verdana" w:hAnsi="Verdana" w:eastAsia="MS Mincho" w:cs="Verdana"/>
      <w:sz w:val="20"/>
      <w:szCs w:val="20"/>
      <w:lang w:val="en-US" w:eastAsia="en-US"/>
    </w:rPr>
  </w:style>
  <w:style w:type="character" w:styleId="919" w:customStyle="1">
    <w:name w:val="Заголовок 4 Знак"/>
    <w:link w:val="726"/>
    <w:semiHidden/>
    <w:rPr>
      <w:rFonts w:ascii="Calibri" w:hAnsi="Calibri" w:eastAsia="Times New Roman" w:cs="Times New Roman"/>
      <w:b/>
      <w:bCs/>
      <w:sz w:val="28"/>
      <w:szCs w:val="28"/>
    </w:rPr>
  </w:style>
  <w:style w:type="paragraph" w:styleId="920">
    <w:name w:val="Body Text"/>
    <w:basedOn w:val="722"/>
    <w:link w:val="921"/>
    <w:pPr>
      <w:spacing w:after="120"/>
    </w:pPr>
    <w:rPr>
      <w:lang w:val="en-US" w:eastAsia="en-US"/>
    </w:rPr>
  </w:style>
  <w:style w:type="character" w:styleId="921" w:customStyle="1">
    <w:name w:val="Основной текст Знак"/>
    <w:link w:val="920"/>
    <w:rPr>
      <w:sz w:val="24"/>
      <w:szCs w:val="24"/>
    </w:rPr>
  </w:style>
  <w:style w:type="character" w:styleId="922" w:customStyle="1">
    <w:name w:val="Заголовок 2 Знак"/>
    <w:link w:val="724"/>
    <w:rPr>
      <w:sz w:val="28"/>
    </w:rPr>
  </w:style>
  <w:style w:type="character" w:styleId="923" w:customStyle="1">
    <w:name w:val="Заголовок 3 Знак"/>
    <w:link w:val="725"/>
    <w:rPr>
      <w:sz w:val="28"/>
    </w:rPr>
  </w:style>
  <w:style w:type="character" w:styleId="924" w:customStyle="1">
    <w:name w:val="Заголовок 5 Знак"/>
    <w:link w:val="727"/>
    <w:rPr>
      <w:sz w:val="28"/>
    </w:rPr>
  </w:style>
  <w:style w:type="character" w:styleId="925" w:customStyle="1">
    <w:name w:val="Заголовок 6 Знак"/>
    <w:link w:val="728"/>
    <w:rPr>
      <w:color w:val="000000"/>
      <w:sz w:val="24"/>
    </w:rPr>
  </w:style>
  <w:style w:type="character" w:styleId="926" w:customStyle="1">
    <w:name w:val="Заголовок 7 Знак"/>
    <w:link w:val="729"/>
    <w:rPr>
      <w:b/>
      <w:color w:val="000000"/>
      <w:sz w:val="24"/>
    </w:rPr>
  </w:style>
  <w:style w:type="character" w:styleId="927" w:customStyle="1">
    <w:name w:val="Заголовок 8 Знак"/>
    <w:link w:val="730"/>
    <w:rPr>
      <w:b/>
      <w:sz w:val="28"/>
    </w:rPr>
  </w:style>
  <w:style w:type="character" w:styleId="928" w:customStyle="1">
    <w:name w:val="Заголовок 9 Знак"/>
    <w:link w:val="731"/>
    <w:rPr>
      <w:b/>
      <w:sz w:val="28"/>
    </w:rPr>
  </w:style>
  <w:style w:type="paragraph" w:styleId="929">
    <w:name w:val="Body Text 2"/>
    <w:basedOn w:val="722"/>
    <w:link w:val="930"/>
    <w:pPr>
      <w:jc w:val="center"/>
    </w:pPr>
    <w:rPr>
      <w:sz w:val="32"/>
      <w:szCs w:val="20"/>
      <w:lang w:val="en-US" w:eastAsia="en-US"/>
    </w:rPr>
  </w:style>
  <w:style w:type="character" w:styleId="930" w:customStyle="1">
    <w:name w:val="Основной текст 2 Знак"/>
    <w:link w:val="929"/>
    <w:rPr>
      <w:sz w:val="32"/>
    </w:rPr>
  </w:style>
  <w:style w:type="paragraph" w:styleId="931">
    <w:name w:val="Block Text"/>
    <w:basedOn w:val="722"/>
    <w:pPr>
      <w:ind w:left="993" w:right="567" w:hanging="633"/>
    </w:pPr>
    <w:rPr>
      <w:sz w:val="28"/>
      <w:szCs w:val="20"/>
    </w:rPr>
  </w:style>
  <w:style w:type="paragraph" w:styleId="932">
    <w:name w:val="Body Text Indent 3"/>
    <w:basedOn w:val="722"/>
    <w:link w:val="933"/>
    <w:pPr>
      <w:ind w:left="28" w:hanging="28"/>
    </w:pPr>
    <w:rPr>
      <w:szCs w:val="20"/>
      <w:lang w:val="en-US" w:eastAsia="en-US"/>
    </w:rPr>
  </w:style>
  <w:style w:type="character" w:styleId="933" w:customStyle="1">
    <w:name w:val="Основной текст с отступом 3 Знак"/>
    <w:link w:val="932"/>
    <w:rPr>
      <w:sz w:val="24"/>
    </w:rPr>
  </w:style>
  <w:style w:type="character" w:styleId="934" w:customStyle="1">
    <w:name w:val="Верхний колонтитул Знак"/>
    <w:basedOn w:val="732"/>
    <w:link w:val="761"/>
  </w:style>
  <w:style w:type="paragraph" w:styleId="935">
    <w:name w:val="Body Text Indent 2"/>
    <w:basedOn w:val="722"/>
    <w:link w:val="936"/>
    <w:pPr>
      <w:ind w:firstLine="709"/>
      <w:jc w:val="both"/>
    </w:pPr>
    <w:rPr>
      <w:sz w:val="28"/>
      <w:szCs w:val="20"/>
      <w:lang w:val="en-US" w:eastAsia="en-US"/>
    </w:rPr>
  </w:style>
  <w:style w:type="character" w:styleId="936" w:customStyle="1">
    <w:name w:val="Основной текст с отступом 2 Знак"/>
    <w:link w:val="935"/>
    <w:rPr>
      <w:sz w:val="28"/>
    </w:rPr>
  </w:style>
  <w:style w:type="character" w:styleId="937" w:customStyle="1">
    <w:name w:val="Нижний колонтитул Знак"/>
    <w:basedOn w:val="732"/>
    <w:link w:val="763"/>
  </w:style>
  <w:style w:type="paragraph" w:styleId="938">
    <w:name w:val="Body Text 3"/>
    <w:basedOn w:val="722"/>
    <w:link w:val="939"/>
    <w:rPr>
      <w:sz w:val="28"/>
      <w:szCs w:val="20"/>
      <w:lang w:val="en-US" w:eastAsia="en-US"/>
    </w:rPr>
  </w:style>
  <w:style w:type="character" w:styleId="939" w:customStyle="1">
    <w:name w:val="Основной текст 3 Знак"/>
    <w:link w:val="938"/>
    <w:rPr>
      <w:sz w:val="28"/>
    </w:rPr>
  </w:style>
  <w:style w:type="paragraph" w:styleId="940">
    <w:name w:val="Document Map"/>
    <w:basedOn w:val="722"/>
    <w:link w:val="941"/>
    <w:pPr>
      <w:shd w:val="clear" w:color="auto" w:fill="000080"/>
    </w:pPr>
    <w:rPr>
      <w:rFonts w:ascii="Tahoma" w:hAnsi="Tahoma"/>
      <w:sz w:val="20"/>
      <w:szCs w:val="20"/>
      <w:lang w:val="en-US" w:eastAsia="en-US"/>
    </w:rPr>
  </w:style>
  <w:style w:type="character" w:styleId="941" w:customStyle="1">
    <w:name w:val="Схема документа Знак"/>
    <w:link w:val="940"/>
    <w:rPr>
      <w:rFonts w:ascii="Tahoma" w:hAnsi="Tahoma" w:cs="Tahoma"/>
      <w:shd w:val="clear" w:color="auto" w:fill="000080"/>
    </w:rPr>
  </w:style>
  <w:style w:type="character" w:styleId="942">
    <w:name w:val="page number"/>
  </w:style>
  <w:style w:type="paragraph" w:styleId="943" w:customStyle="1">
    <w:name w:val="Style5"/>
    <w:basedOn w:val="722"/>
    <w:pPr>
      <w:ind w:firstLine="734"/>
      <w:jc w:val="both"/>
      <w:spacing w:line="259" w:lineRule="exact"/>
      <w:widowControl w:val="off"/>
    </w:pPr>
    <w:rPr>
      <w:rFonts w:ascii="Bookman Old Style" w:hAnsi="Bookman Old Style" w:cs="Bookman Old Style"/>
    </w:rPr>
  </w:style>
  <w:style w:type="paragraph" w:styleId="944" w:customStyle="1">
    <w:name w:val="Style6"/>
    <w:basedOn w:val="722"/>
    <w:pPr>
      <w:spacing w:line="288" w:lineRule="exact"/>
      <w:widowControl w:val="off"/>
    </w:pPr>
    <w:rPr>
      <w:rFonts w:ascii="Bookman Old Style" w:hAnsi="Bookman Old Style" w:cs="Bookman Old Style"/>
    </w:rPr>
  </w:style>
  <w:style w:type="paragraph" w:styleId="945" w:customStyle="1">
    <w:name w:val="Style2"/>
    <w:basedOn w:val="722"/>
    <w:pPr>
      <w:widowControl w:val="off"/>
    </w:pPr>
  </w:style>
  <w:style w:type="paragraph" w:styleId="946" w:customStyle="1">
    <w:name w:val="Style7"/>
    <w:basedOn w:val="722"/>
    <w:pPr>
      <w:jc w:val="center"/>
      <w:spacing w:line="255" w:lineRule="exact"/>
      <w:widowControl w:val="off"/>
    </w:pPr>
  </w:style>
  <w:style w:type="character" w:styleId="947" w:customStyle="1">
    <w:name w:val="Font Style11"/>
    <w:rPr>
      <w:rFonts w:ascii="Times New Roman" w:hAnsi="Times New Roman" w:cs="Times New Roman"/>
      <w:sz w:val="22"/>
      <w:szCs w:val="22"/>
    </w:rPr>
  </w:style>
  <w:style w:type="character" w:styleId="948" w:customStyle="1">
    <w:name w:val="Font Style12"/>
    <w:rPr>
      <w:rFonts w:ascii="Times New Roman" w:hAnsi="Times New Roman" w:cs="Times New Roman"/>
      <w:sz w:val="20"/>
      <w:szCs w:val="20"/>
    </w:rPr>
  </w:style>
  <w:style w:type="paragraph" w:styleId="949" w:customStyle="1">
    <w:name w:val="Table Paragraph"/>
    <w:basedOn w:val="722"/>
    <w:uiPriority w:val="1"/>
    <w:qFormat/>
    <w:pPr>
      <w:ind w:left="105"/>
      <w:spacing w:line="270" w:lineRule="exact"/>
      <w:widowControl w:val="off"/>
    </w:pPr>
    <w:rPr>
      <w:sz w:val="22"/>
      <w:szCs w:val="22"/>
      <w:lang w:bidi="ru-RU"/>
    </w:rPr>
  </w:style>
  <w:style w:type="character" w:styleId="950" w:customStyle="1">
    <w:name w:val="Body text_"/>
    <w:link w:val="951"/>
    <w:uiPriority w:val="99"/>
    <w:rPr>
      <w:sz w:val="23"/>
      <w:shd w:val="clear" w:color="auto" w:fill="ffffff"/>
    </w:rPr>
  </w:style>
  <w:style w:type="paragraph" w:styleId="951" w:customStyle="1">
    <w:name w:val="Основной текст2"/>
    <w:basedOn w:val="722"/>
    <w:link w:val="950"/>
    <w:uiPriority w:val="99"/>
    <w:pPr>
      <w:spacing w:before="240" w:after="3360" w:line="240" w:lineRule="atLeast"/>
      <w:shd w:val="clear" w:color="auto" w:fill="ffffff"/>
    </w:pPr>
    <w:rPr>
      <w:sz w:val="23"/>
      <w:szCs w:val="20"/>
      <w:lang w:val="en-US" w:eastAsia="en-US"/>
    </w:rPr>
  </w:style>
  <w:style w:type="character" w:styleId="952">
    <w:name w:val="annotation reference"/>
    <w:rPr>
      <w:sz w:val="16"/>
      <w:szCs w:val="16"/>
    </w:rPr>
  </w:style>
  <w:style w:type="paragraph" w:styleId="953">
    <w:name w:val="annotation text"/>
    <w:basedOn w:val="722"/>
    <w:link w:val="954"/>
    <w:rPr>
      <w:sz w:val="20"/>
      <w:szCs w:val="20"/>
    </w:rPr>
  </w:style>
  <w:style w:type="character" w:styleId="954" w:customStyle="1">
    <w:name w:val="Текст примечания Знак"/>
    <w:basedOn w:val="732"/>
    <w:link w:val="953"/>
  </w:style>
  <w:style w:type="paragraph" w:styleId="955">
    <w:name w:val="annotation subject"/>
    <w:basedOn w:val="953"/>
    <w:next w:val="953"/>
    <w:link w:val="956"/>
    <w:rPr>
      <w:b/>
      <w:bCs/>
    </w:rPr>
  </w:style>
  <w:style w:type="character" w:styleId="956" w:customStyle="1">
    <w:name w:val="Тема примечания Знак"/>
    <w:link w:val="955"/>
    <w:rPr>
      <w:b/>
      <w:bCs/>
    </w:rPr>
  </w:style>
  <w:style w:type="table" w:styleId="957" w:customStyle="1">
    <w:name w:val="Сетка таблицы1"/>
    <w:basedOn w:val="733"/>
    <w:next w:val="767"/>
    <w:uiPriority w:val="39"/>
    <w:rPr>
      <w:rFonts w:ascii="Calibri" w:hAnsi="Calibri" w:eastAsia="Calibri"/>
      <w:sz w:val="22"/>
      <w:szCs w:val="22"/>
      <w:lang w:eastAsia="en-US"/>
    </w:rPr>
    <w:tblPr/>
  </w:style>
  <w:style w:type="paragraph" w:styleId="958" w:customStyle="1">
    <w:name w:val="Style1"/>
    <w:basedOn w:val="722"/>
    <w:qFormat/>
    <w:pPr>
      <w:jc w:val="both"/>
      <w:spacing w:line="276" w:lineRule="auto"/>
    </w:pPr>
    <w:rPr>
      <w:rFonts w:eastAsia="Calibri"/>
      <w:sz w:val="27"/>
      <w:lang w:eastAsia="en-US"/>
    </w:rPr>
  </w:style>
  <w:style w:type="paragraph" w:styleId="959" w:customStyle="1">
    <w:name w:val="Основной текст (2)"/>
    <w:pPr>
      <w:jc w:val="center"/>
      <w:spacing w:line="276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i/>
      <w:iCs/>
      <w:color w:val="000000"/>
      <w:sz w:val="22"/>
      <w:szCs w:val="22"/>
      <w:lang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Слободская Е.</dc:creator>
  <cp:lastModifiedBy>oiu_dmitrieva</cp:lastModifiedBy>
  <cp:revision>6</cp:revision>
  <dcterms:created xsi:type="dcterms:W3CDTF">2026-06-30T11:43:00Z</dcterms:created>
  <dcterms:modified xsi:type="dcterms:W3CDTF">2026-08-07T06:32:32Z</dcterms:modified>
  <cp:version>983040</cp:version>
</cp:coreProperties>
</file>