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jc w:val="center"/>
        <w:rPr>
          <w:rFonts w:eastAsia="Calibri"/>
          <w:sz w:val="26"/>
          <w:szCs w:val="26"/>
          <w:highlight w:val="yellow"/>
        </w:rPr>
      </w:pPr>
      <w:r>
        <w:rPr>
          <w:rFonts w:ascii="Calibri" w:hAnsi="Calibri" w:eastAsia="Calibr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" cy="7715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286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.50pt;height:60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Calibri"/>
          <w:sz w:val="26"/>
          <w:szCs w:val="26"/>
          <w:highlight w:val="yellow"/>
        </w:rPr>
      </w:r>
      <w:r>
        <w:rPr>
          <w:rFonts w:eastAsia="Calibri"/>
          <w:sz w:val="26"/>
          <w:szCs w:val="26"/>
          <w:highlight w:val="yellow"/>
        </w:rPr>
      </w:r>
    </w:p>
    <w:p>
      <w:pPr>
        <w:pStyle w:val="883"/>
        <w:ind w:right="-5"/>
        <w:jc w:val="center"/>
        <w:keepNext/>
        <w:rPr>
          <w:b/>
          <w:iCs/>
          <w:caps/>
          <w:color w:val="548dd4"/>
          <w:spacing w:val="-2"/>
          <w:sz w:val="24"/>
          <w:szCs w:val="24"/>
        </w:rPr>
        <w:outlineLvl w:val="3"/>
      </w:pPr>
      <w:r>
        <w:rPr>
          <w:iCs/>
          <w:caps/>
          <w:color w:val="548dd4"/>
          <w:sz w:val="24"/>
          <w:szCs w:val="24"/>
        </w:rPr>
        <w:t xml:space="preserve">Администрация</w:t>
      </w:r>
      <w:r>
        <w:rPr>
          <w:iCs/>
          <w:caps/>
          <w:color w:val="548dd4"/>
          <w:sz w:val="24"/>
          <w:szCs w:val="24"/>
        </w:rPr>
        <w:t xml:space="preserve"> </w:t>
      </w:r>
      <w:r>
        <w:rPr>
          <w:iCs/>
          <w:caps/>
          <w:color w:val="548dd4"/>
          <w:spacing w:val="-2"/>
          <w:sz w:val="24"/>
          <w:szCs w:val="24"/>
        </w:rPr>
        <w:t xml:space="preserve">Ленинградской области</w:t>
      </w:r>
      <w:r>
        <w:rPr>
          <w:b/>
          <w:iCs/>
          <w:caps/>
          <w:color w:val="548dd4"/>
          <w:spacing w:val="-2"/>
          <w:sz w:val="24"/>
          <w:szCs w:val="24"/>
        </w:rPr>
      </w:r>
      <w:r>
        <w:rPr>
          <w:b/>
          <w:iCs/>
          <w:caps/>
          <w:color w:val="548dd4"/>
          <w:spacing w:val="-2"/>
          <w:sz w:val="24"/>
          <w:szCs w:val="24"/>
        </w:rPr>
      </w:r>
    </w:p>
    <w:p>
      <w:pPr>
        <w:pStyle w:val="883"/>
        <w:ind w:right="-5"/>
        <w:jc w:val="center"/>
        <w:rPr>
          <w:caps/>
          <w:color w:val="548dd4"/>
          <w:sz w:val="13"/>
          <w:szCs w:val="13"/>
          <w:highlight w:val="yellow"/>
        </w:rPr>
      </w:pP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</w:p>
    <w:p>
      <w:pPr>
        <w:pStyle w:val="883"/>
        <w:ind w:right="-5"/>
        <w:jc w:val="center"/>
        <w:tabs>
          <w:tab w:val="left" w:pos="4116" w:leader="none"/>
        </w:tabs>
        <w:rPr>
          <w:b/>
          <w:caps/>
          <w:color w:val="548dd4"/>
          <w:spacing w:val="-8"/>
          <w:u w:val="single"/>
        </w:rPr>
      </w:pPr>
      <w:r>
        <w:rPr>
          <w:b/>
          <w:caps/>
          <w:color w:val="548dd4"/>
          <w:spacing w:val="-8"/>
        </w:rPr>
        <w:t xml:space="preserve">КОМИТЕТ государственного экологического надзора</w:t>
      </w:r>
      <w:r>
        <w:rPr>
          <w:b/>
          <w:caps/>
          <w:color w:val="548dd4"/>
          <w:spacing w:val="-8"/>
          <w:u w:val="single"/>
        </w:rPr>
      </w:r>
      <w:r>
        <w:rPr>
          <w:b/>
          <w:caps/>
          <w:color w:val="548dd4"/>
          <w:spacing w:val="-8"/>
          <w:u w:val="single"/>
        </w:rPr>
      </w:r>
    </w:p>
    <w:p>
      <w:pPr>
        <w:pStyle w:val="883"/>
        <w:ind w:right="-5"/>
        <w:jc w:val="center"/>
        <w:tabs>
          <w:tab w:val="left" w:pos="4116" w:leader="none"/>
        </w:tabs>
        <w:rPr>
          <w:b/>
          <w:caps/>
          <w:color w:val="548dd4"/>
        </w:rPr>
      </w:pPr>
      <w:r>
        <w:rPr>
          <w:b/>
          <w:caps/>
          <w:color w:val="548dd4"/>
        </w:rPr>
        <w:t xml:space="preserve">ленинградской области</w:t>
      </w:r>
      <w:r>
        <w:rPr>
          <w:b/>
          <w:caps/>
          <w:color w:val="548dd4"/>
        </w:rPr>
      </w:r>
      <w:r>
        <w:rPr>
          <w:b/>
          <w:caps/>
          <w:color w:val="548dd4"/>
        </w:rPr>
      </w:r>
    </w:p>
    <w:p>
      <w:pPr>
        <w:pStyle w:val="883"/>
        <w:ind w:right="-5"/>
        <w:jc w:val="center"/>
        <w:rPr>
          <w:caps/>
          <w:color w:val="548dd4"/>
          <w:sz w:val="27"/>
          <w:szCs w:val="27"/>
          <w:highlight w:val="yellow"/>
        </w:rPr>
      </w:pP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</w:p>
    <w:p>
      <w:pPr>
        <w:pStyle w:val="883"/>
        <w:ind w:hanging="240"/>
        <w:jc w:val="center"/>
        <w:tabs>
          <w:tab w:val="left" w:pos="3720" w:leader="none"/>
          <w:tab w:val="left" w:pos="3960" w:leader="none"/>
          <w:tab w:val="left" w:pos="4200" w:leader="none"/>
        </w:tabs>
        <w:rPr>
          <w:b/>
          <w:sz w:val="27"/>
          <w:szCs w:val="27"/>
        </w:rPr>
        <w:outlineLvl w:val="0"/>
      </w:pPr>
      <w:r>
        <w:rPr>
          <w:b/>
          <w:sz w:val="27"/>
          <w:szCs w:val="27"/>
        </w:rPr>
        <w:t xml:space="preserve">ПРИКАЗ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87"/>
        <w:jc w:val="both"/>
        <w:widowControl/>
        <w:tabs>
          <w:tab w:val="left" w:pos="4224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83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от «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_________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202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года                          </w:t>
      </w:r>
      <w:r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_______________</w:t>
      </w:r>
      <w:r>
        <w:rPr>
          <w:sz w:val="27"/>
          <w:szCs w:val="27"/>
          <w:u w:val="single"/>
        </w:rPr>
      </w:r>
      <w:r>
        <w:rPr>
          <w:sz w:val="27"/>
          <w:szCs w:val="27"/>
          <w:u w:val="single"/>
        </w:rPr>
      </w:r>
    </w:p>
    <w:p>
      <w:pPr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83"/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8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утверждении Свода правил подачи документов </w:t>
      </w:r>
      <w:r>
        <w:rPr>
          <w:b/>
          <w:bCs/>
          <w:sz w:val="27"/>
          <w:szCs w:val="27"/>
        </w:rPr>
        <w:t xml:space="preserve">в Комитет государственного экологического надзора Ленинградской области</w:t>
      </w:r>
      <w:r>
        <w:rPr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 xml:space="preserve">для включения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общественных инспекторов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охране окружающей среды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со статьей </w:t>
      </w:r>
      <w:r>
        <w:rPr>
          <w:sz w:val="28"/>
          <w:szCs w:val="28"/>
          <w:highlight w:val="white"/>
        </w:rPr>
        <w:t xml:space="preserve">68.2 Федерального закона от 10.01.2002 № 7-ФЗ «Об охране окружающей среды»</w:t>
      </w:r>
      <w:r>
        <w:rPr>
          <w:sz w:val="28"/>
          <w:szCs w:val="28"/>
        </w:rPr>
        <w:t xml:space="preserve">, п</w:t>
      </w:r>
      <w:r>
        <w:rPr>
          <w:sz w:val="28"/>
          <w:szCs w:val="28"/>
        </w:rPr>
        <w:t xml:space="preserve">остановлением Правительства Российской Федерации от 28.06.2024 № 877 «Об утверждении Правил организации деятельности общественных инспекторов по охране окружающей среды», Положением о Комитете государственного экологического надзора Ленинградской области, </w:t>
      </w:r>
      <w:r>
        <w:rPr>
          <w:sz w:val="28"/>
          <w:szCs w:val="28"/>
          <w:highlight w:val="white"/>
        </w:rPr>
        <w:t xml:space="preserve">утвержденным постановлением Правительства Ленинградской области </w:t>
        <w:br/>
        <w:t xml:space="preserve">от 27.05.2014 № 192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ы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b/>
          <w:bCs/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Свод правил </w:t>
      </w:r>
      <w:r>
        <w:rPr>
          <w:sz w:val="28"/>
          <w:szCs w:val="28"/>
        </w:rPr>
        <w:t xml:space="preserve">подачи документов в Комитет государственного экологического надзора Ленинградской области </w:t>
      </w:r>
      <w:r>
        <w:rPr>
          <w:sz w:val="28"/>
          <w:szCs w:val="28"/>
        </w:rPr>
        <w:t xml:space="preserve">для 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 </w:t>
      </w:r>
      <w:r>
        <w:rPr>
          <w:sz w:val="28"/>
          <w:szCs w:val="28"/>
        </w:rPr>
        <w:t xml:space="preserve">согласно приложению </w:t>
        <w:br/>
        <w:t xml:space="preserve">к настоящему приказу.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:highlight w:val="none"/>
          <w14:ligatures w14:val="none"/>
        </w:rPr>
      </w:r>
    </w:p>
    <w:p>
      <w:pPr>
        <w:ind w:left="0" w:right="0" w:firstLine="850"/>
        <w:jc w:val="both"/>
        <w:shd w:val="nil"/>
        <w:rPr>
          <w:b/>
          <w:bCs/>
          <w:sz w:val="27"/>
          <w:szCs w:val="27"/>
          <w14:ligatures w14:val="none"/>
        </w:rPr>
      </w:pPr>
      <w:r>
        <w:rPr>
          <w:sz w:val="28"/>
          <w:szCs w:val="28"/>
          <w:highlight w:val="none"/>
        </w:rPr>
        <w:t xml:space="preserve">2. Признать утратившим силу приказ Комитета государственного экологического надзора Ленинградской области от 25.08.2026 № 1.4-01-10 </w:t>
        <w:br/>
        <w:t xml:space="preserve">«</w:t>
      </w:r>
      <w:r>
        <w:rPr>
          <w:sz w:val="28"/>
          <w:szCs w:val="28"/>
        </w:rPr>
        <w:t xml:space="preserve">Об утверждении Свода правил подачи документов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для 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</w:rPr>
        <w:t xml:space="preserve">по охране окружающей среды и взаимодействия </w:t>
        <w:br/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</w:rPr>
        <w:t xml:space="preserve">с Комитетом государственного экологического надзора 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</w:rPr>
        <w:t xml:space="preserve">Ленинградской области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14:ligatures w14:val="none"/>
        </w:rPr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b w:val="0"/>
          <w:bCs w:val="0"/>
          <w:sz w:val="28"/>
          <w:szCs w:val="28"/>
          <w14:ligatures w14:val="none"/>
        </w:rPr>
      </w:pPr>
      <w:r>
        <w:rPr>
          <w:b w:val="0"/>
          <w:bCs w:val="0"/>
          <w:sz w:val="28"/>
          <w:szCs w:val="28"/>
          <w:highlight w:val="none"/>
          <w14:ligatures w14:val="none"/>
        </w:rPr>
      </w:r>
      <w:r>
        <w:rPr>
          <w:b w:val="0"/>
          <w:bCs w:val="0"/>
          <w:sz w:val="28"/>
          <w:szCs w:val="28"/>
          <w:highlight w:val="none"/>
          <w14:ligatures w14:val="none"/>
        </w:rPr>
      </w:r>
      <w:r/>
    </w:p>
    <w:p>
      <w:pPr>
        <w:pStyle w:val="883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Р.Э. Агаева</w:t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7"/>
          <w:szCs w:val="27"/>
        </w:rPr>
      </w:pPr>
      <w:r>
        <w:rPr>
          <w:sz w:val="27"/>
          <w:szCs w:val="27"/>
        </w:rPr>
        <w:br w:type="page" w:clear="all"/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УТВЕРЖДЕН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приказом </w:t>
      </w:r>
      <w:r>
        <w:rPr>
          <w:sz w:val="27"/>
          <w:szCs w:val="27"/>
          <w:highlight w:val="none"/>
        </w:rPr>
        <w:t xml:space="preserve">Комитета государственного э</w:t>
      </w:r>
      <w:r>
        <w:rPr>
          <w:sz w:val="27"/>
          <w:szCs w:val="27"/>
          <w:highlight w:val="none"/>
        </w:rPr>
        <w:t xml:space="preserve">кологического надзора </w:t>
      </w:r>
      <w:r>
        <w:rPr>
          <w:sz w:val="27"/>
          <w:szCs w:val="27"/>
          <w:highlight w:val="none"/>
        </w:rPr>
        <w:t xml:space="preserve">Ленинградской области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от_______№__________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9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</w:t>
      </w:r>
      <w:r>
        <w:rPr>
          <w:b/>
          <w:bCs/>
          <w:sz w:val="27"/>
          <w:szCs w:val="27"/>
        </w:rPr>
        <w:t xml:space="preserve">ВОД ПРАВИЛ </w:t>
      </w:r>
      <w:r>
        <w:rPr>
          <w:b/>
          <w:bCs/>
          <w:sz w:val="27"/>
          <w:szCs w:val="27"/>
        </w:rPr>
        <w:t xml:space="preserve">ПОДАЧИ ДОКУМЕНТОВ </w:t>
      </w:r>
      <w:r>
        <w:rPr>
          <w:b/>
          <w:bCs/>
          <w:sz w:val="28"/>
          <w:szCs w:val="28"/>
        </w:rPr>
        <w:t xml:space="preserve">В КОМИТЕТ ГОСУДАРСТВЕННОГО ЭКОЛОГИЧЕСКОГО НАДЗОРА ЛЕНИНГРАДСКОЙ ОБЛАСТИ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 xml:space="preserve">ДЛЯ ВКЛЮЧЕНИЯ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ОБЩЕСТВЕННЫХ ИНСПЕКТОРОВ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ОХРАНЕ ОКРУЖАЮЩЕЙ СРЕДЫ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24"/>
        <w:jc w:val="center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Настоящий Свод правил разработан в соответствии с постановлением Правительства Российской Федерации от 28.06.2024 № 877 «Об утверждении Правил организации деятельности общественных инспекторов по охране окружающей среды»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регулирует порядок подачи документов </w:t>
      </w:r>
      <w:r>
        <w:rPr>
          <w:sz w:val="28"/>
          <w:szCs w:val="28"/>
        </w:rPr>
        <w:t xml:space="preserve">в Комитет государственного экологического надзора Ленинградской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- Комитет)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включения в перечень общественных инспекторов по охране окружающей среды.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t xml:space="preserve">Общественный контроль в области охраны окружающей среды (общественный экологический контроль) осуществляется в целях реализации прав граждан в области охраны окружающей среды, а также предотвращения </w:t>
        <w:br/>
        <w:t xml:space="preserve">и выявления нарушений законодательства в области охраны ок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t xml:space="preserve">ружающей среды.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Гражданин Российской Федерации, достигший возраста 18 лет, обладающий знаниями, намеренный оказывать содействие Комитету, </w:t>
        <w:br/>
        <w:t xml:space="preserve">на добровольной и безвозмездной основе в качестве общественного инспектора </w:t>
        <w:br/>
        <w:t xml:space="preserve">по охране окружающей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реды (далее - гражданин), подает в Комитет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заявление </w:t>
        <w:br/>
        <w:t xml:space="preserve">о намерении осуществления общественного контроля в области охраны окружающей среды (общественного экологического контроля) в качестве общественного инспектора по охране окружающей среды (далее - заявление </w:t>
        <w:br/>
        <w:t xml:space="preserve">о намерении),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оторое должно содержать:</w:t>
      </w:r>
      <w:r/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фамилию, имя и отчество (при наличии);</w:t>
      </w:r>
      <w:r/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 постоянного места жительства;</w:t>
      </w:r>
      <w:r/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документе, удостоверяющем личность (номер, дата выдачи, орган, выдавший документ, код подразделения);</w:t>
      </w:r>
      <w:r/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(при наличии);</w:t>
      </w:r>
      <w:r/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почтовый адрес для направления корреспонденции (по желанию).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 Не вправе осуществлять деятельность в качестве общественных инспекторов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по охране окружающей среды </w:t>
      </w:r>
      <w:r>
        <w:rPr>
          <w:sz w:val="28"/>
          <w:szCs w:val="28"/>
        </w:rPr>
        <w:t xml:space="preserve">лица, указанные в пункте 3 статьи 68.2 </w:t>
      </w:r>
      <w:r>
        <w:rPr>
          <w:sz w:val="28"/>
          <w:szCs w:val="28"/>
          <w:highlight w:val="white"/>
        </w:rPr>
        <w:t xml:space="preserve">Федерального закона </w:t>
      </w:r>
      <w:r>
        <w:rPr>
          <w:sz w:val="28"/>
          <w:szCs w:val="28"/>
          <w:highlight w:val="white"/>
        </w:rPr>
        <w:t xml:space="preserve">от 10.01.2002 № 7-ФЗ</w:t>
      </w:r>
      <w:r/>
      <w:r>
        <w:rPr>
          <w:sz w:val="28"/>
          <w:szCs w:val="28"/>
          <w:highlight w:val="white"/>
        </w:rPr>
        <w:t xml:space="preserve"> «Об охране окружающей среды»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о намерении может быть направлено:</w:t>
      </w:r>
      <w:r/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left="0" w:right="0" w:firstLine="850"/>
        <w:jc w:val="both"/>
        <w:shd w:val="nil" w:color="000000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почтовым отправлением в адрес Комитета (191124, Санкт-Петербург, </w:t>
      </w:r>
      <w:r>
        <w:rPr>
          <w:sz w:val="28"/>
          <w:szCs w:val="28"/>
          <w:highlight w:val="white"/>
        </w:rPr>
        <w:t xml:space="preserve">внутригородское муниципальное образование Санкт-Петербурга муниципальный округ Смольнинское, площадь Растрелли, дом 2, строение 1</w:t>
      </w:r>
      <w:r>
        <w:rPr>
          <w:sz w:val="28"/>
          <w:szCs w:val="28"/>
        </w:rPr>
        <w:t xml:space="preserve">) с описью вложения </w:t>
        <w:br/>
        <w:t xml:space="preserve">и уведомлением о вручении;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white"/>
        </w:rPr>
        <w:t xml:space="preserve">с использованием информационно-телекоммуникационной сети «Интернет»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посредством формы обратной связи на сайте Комитета (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https://eco.lenobl.ru/ru/obrashcheniia/reception/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);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электронной форме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о намерении регистрируется Комитетом в течение одного рабочего дня с даты поступления.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Наличие знаний проверяется в форме тестирования без взимания платы </w:t>
        <w:br/>
        <w:t xml:space="preserve">в порядке, предусмотренном </w:t>
      </w:r>
      <w:r>
        <w:rPr>
          <w:sz w:val="28"/>
          <w:szCs w:val="28"/>
          <w:highlight w:val="none"/>
          <w14:ligatures w14:val="none"/>
        </w:rPr>
        <w:t xml:space="preserve">разделом IV Правил организации деятельности общественных инспекторов по охране окружающей среды, утвержденных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Правительства Российской Федерации от 28.06.2024 № 877</w:t>
      </w:r>
      <w:r/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7.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Заявление о намерении и результаты тестирования в течение 2 рабочих дней с даты регистрации указанного заявления рассматриваются на заседании </w:t>
      </w:r>
      <w:r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организации деятельности </w:t>
      </w:r>
      <w:r>
        <w:rPr>
          <w:sz w:val="28"/>
          <w:szCs w:val="28"/>
        </w:rPr>
        <w:t xml:space="preserve">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Комиссия) </w:t>
      </w:r>
      <w:r/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с участием гражданина.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8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 итогам заседания Комиссии принимается одно из следующих решений: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 включении гражданина в перечень общественных инспекторов по охране окружающей среды;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 отказе во включении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гражданина в перечень общественных инспекторов 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Основания для отказа во включении в перечень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общественных инспекторов по охране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sz w:val="28"/>
          <w:szCs w:val="28"/>
        </w:rPr>
        <w:t xml:space="preserve">выявлены ограничения, установленные пунктом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  <w:highlight w:val="white"/>
        </w:rPr>
        <w:t xml:space="preserve">от 10.01.2002 № 7-ФЗ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«Об охране окружающей среды», в том числе посредством анализа сведений, содержащихся в опубликованных реестрах, иных источниках, доступ к которым не ограничен, а также Комитетом посредством получения сведений в рамках межвед</w:t>
      </w:r>
      <w:r>
        <w:rPr>
          <w:sz w:val="28"/>
          <w:szCs w:val="28"/>
        </w:rPr>
        <w:t xml:space="preserve">омственного информационного взаимодействия;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yellow"/>
          <w14:ligatures w14:val="none"/>
        </w:rPr>
      </w:pPr>
      <w:r>
        <w:rPr>
          <w:sz w:val="28"/>
          <w:szCs w:val="28"/>
          <w:highlight w:val="white"/>
        </w:rPr>
        <w:t xml:space="preserve">гражданином не пройдено тестирование, указанное в пункте 6 настоящего Свода правил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принятии решения об отказе во включении гражданина в перечень общественных инспекторов по охране окружающей среды в решении Комиссии указываются причина отказа и обоснования принятого решения. Указанное решение направляется гражданину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одного рабочего дня с даты его принятия.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 После устранения причин, послуживших основанием для принятия решения об отказе во включении гражданина в перечень общественных инспекторов по охране окружающей среды, гражданин вправе повторно обратиться в Комитет </w:t>
        <w:br/>
        <w:t xml:space="preserve">с заявлением о намерении.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12. Право гражданина осуществлять общественный контроль в области охраны окружающей среды (общественный экологический контроль) в качестве общественного инспектора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по охране окружающей среды </w:t>
      </w:r>
      <w:r/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подтверждается записью </w:t>
        <w:br/>
        <w:t xml:space="preserve">в перечне общественных инспекторов по охра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окружающей среды.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ведения об общественном инспекторе по охране окружающей среды включаются в перечень общественных инспекторов по охране окружающей среды на 3 года с даты принятия решения, указанного во втором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абзаце пункта 8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настоящего Свода правил. Указанный срок может быть продлен не более одн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ого раза на 3 года по решению Комиссии на основании заявления общественного инспектора по охране окружающей среды о дальнейшем намерении оказывать содействие Комитету, поступившего не позднее чем за один месяц до даты окончания срока включения св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едений об общественном инспекторе по охране окружающей среды в перечень общественных инспекторов по охране окружающей среды. В указанное заявление общественный инспектор по охране окружающей среды включает сведения о результатах своей деятельности, в том чи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сле информацию об исполнении прав и обязанностей, предусмотренных статьей 68.2 Федерального закона </w:t>
      </w:r>
      <w:r>
        <w:rPr>
          <w:sz w:val="28"/>
          <w:szCs w:val="28"/>
          <w:highlight w:val="white"/>
        </w:rPr>
        <w:t xml:space="preserve">от 10.01.2002 № 7-ФЗ</w:t>
      </w:r>
      <w:r>
        <w:rPr>
          <w:sz w:val="28"/>
          <w:szCs w:val="28"/>
          <w:highlight w:val="white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охране окружающей среды».</w:t>
      </w:r>
      <w:r>
        <w:rPr>
          <w:highlight w:val="whit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14. Заявление общественного инспектора по охране окружающей среды </w:t>
        <w:br/>
        <w:t xml:space="preserve">о дальнейшем намерении оказывать содействие Комитету может быть направлено </w:t>
        <w:br/>
        <w:t xml:space="preserve">в Комитет способами,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указанными в пункте 5 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вода правил.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15. Заявление общественного инспектора по охране окружающей среды </w:t>
        <w:br/>
        <w:t xml:space="preserve">о дальнейшем намерении оказывать содействие Комитета регистрируется Комитетом в течение одного рабочего дня с даты поступления указанного заявления в Комитет.</w:t>
      </w:r>
      <w:r/>
    </w:p>
    <w:p>
      <w:pPr>
        <w:pStyle w:val="724"/>
        <w:ind w:left="0" w:right="0" w:firstLine="85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16. Принятие решения о продлении срока включения сведений </w:t>
        <w:br/>
        <w:t xml:space="preserve">об общественном инспекторе по охране окружающей среды в перечень общественных инспекторов по охране окружающей среды осуществляется Комитетом в течение 3 рабочих дней с даты поступления заявлен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 общественного инспектора по охране окружающей среды о дальнейшем намерении оказывать содействие Комитету.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17. Гражданин не вправе осуществлять общественный контроль в области охраны окружающей среды (общественный экологический контроль) в качестве общественного инспектора по охране окружающей среды в случае отсутствия сведений об общественном инспекторе по охра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окружающей среды в перечне общественных инспекторов по охране окружающей среды.</w:t>
      </w:r>
      <w:r/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18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Ведение перечня общественных инспекторов по охране окружающей среды осуществляется в порядке,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п</w:t>
      </w:r>
      <w:r>
        <w:rPr>
          <w:sz w:val="28"/>
          <w:szCs w:val="28"/>
          <w:highlight w:val="none"/>
          <w14:ligatures w14:val="none"/>
        </w:rPr>
        <w:t xml:space="preserve">редусмотренном разделом III Правил организации деятельности общественных инспекторов по охране окружающей среды, утвержденных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Правительства Российской Федерации </w:t>
        <w:br/>
        <w:t xml:space="preserve">от 28.06.2024 № 877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</w: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19. Общественный инспектор по охране окружающей среды вправе получить удостоверение общественного инспектора по охране окружающей среды по форме </w:t>
        <w:br/>
        <w:t xml:space="preserve">и в порядке, установленными Федеральной службой по надзору в сфере природопользования.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7" w:h="16840" w:orient="portrait"/>
      <w:pgMar w:top="1134" w:right="567" w:bottom="568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mbria">
    <w:panose1 w:val="02040803050406030204"/>
  </w:font>
  <w:font w:name="Georgia">
    <w:panose1 w:val="02040502050405020303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9" w:hanging="11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35" w:hanging="360"/>
        <w:tabs>
          <w:tab w:val="num" w:pos="133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55" w:hanging="360"/>
        <w:tabs>
          <w:tab w:val="num" w:pos="205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5" w:hanging="360"/>
        <w:tabs>
          <w:tab w:val="num" w:pos="277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5" w:hanging="360"/>
        <w:tabs>
          <w:tab w:val="num" w:pos="349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5" w:hanging="360"/>
        <w:tabs>
          <w:tab w:val="num" w:pos="421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5" w:hanging="360"/>
        <w:tabs>
          <w:tab w:val="num" w:pos="493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5" w:hanging="360"/>
        <w:tabs>
          <w:tab w:val="num" w:pos="565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5" w:hanging="360"/>
        <w:tabs>
          <w:tab w:val="num" w:pos="637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5" w:hanging="360"/>
        <w:tabs>
          <w:tab w:val="num" w:pos="7095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5" w:hanging="825"/>
      </w:pPr>
      <w:rPr>
        <w:rFonts w:ascii="Times New Roman" w:hAnsi="Times New Roman" w:eastAsia="Calibri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3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6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b4256"/>
        <w:sz w:val="50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7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17"/>
  </w:num>
  <w:num w:numId="17">
    <w:abstractNumId w:val="0"/>
  </w:num>
  <w:num w:numId="18">
    <w:abstractNumId w:val="12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>
    <w:name w:val="Heading 1"/>
    <w:basedOn w:val="883"/>
    <w:next w:val="883"/>
    <w:link w:val="70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6">
    <w:name w:val="Heading 1 Char"/>
    <w:link w:val="70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7">
    <w:name w:val="Heading 2"/>
    <w:basedOn w:val="883"/>
    <w:next w:val="883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8">
    <w:name w:val="Heading 2 Char"/>
    <w:link w:val="707"/>
    <w:uiPriority w:val="9"/>
    <w:rPr>
      <w:rFonts w:ascii="Liberation Sans" w:hAnsi="Liberation Sans" w:eastAsia="Liberation Sans" w:cs="Liberation Sans"/>
      <w:sz w:val="34"/>
    </w:rPr>
  </w:style>
  <w:style w:type="paragraph" w:styleId="709">
    <w:name w:val="Heading 3"/>
    <w:basedOn w:val="883"/>
    <w:next w:val="883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0">
    <w:name w:val="Heading 3 Char"/>
    <w:link w:val="70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1">
    <w:name w:val="Heading 4"/>
    <w:basedOn w:val="883"/>
    <w:next w:val="883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2">
    <w:name w:val="Heading 4 Char"/>
    <w:link w:val="71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3">
    <w:name w:val="Heading 5"/>
    <w:basedOn w:val="883"/>
    <w:next w:val="883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4">
    <w:name w:val="Heading 5 Char"/>
    <w:link w:val="71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5">
    <w:name w:val="Heading 6"/>
    <w:basedOn w:val="883"/>
    <w:next w:val="883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6">
    <w:name w:val="Heading 6 Char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7">
    <w:name w:val="Heading 7"/>
    <w:basedOn w:val="883"/>
    <w:next w:val="883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8">
    <w:name w:val="Heading 7 Char"/>
    <w:link w:val="71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9">
    <w:name w:val="Heading 8"/>
    <w:basedOn w:val="883"/>
    <w:next w:val="883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0">
    <w:name w:val="Heading 8 Char"/>
    <w:link w:val="71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1">
    <w:name w:val="Heading 9"/>
    <w:basedOn w:val="883"/>
    <w:next w:val="883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2">
    <w:name w:val="Heading 9 Char"/>
    <w:link w:val="72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3">
    <w:name w:val="List Paragraph"/>
    <w:basedOn w:val="883"/>
    <w:uiPriority w:val="34"/>
    <w:qFormat/>
    <w:pPr>
      <w:contextualSpacing/>
      <w:ind w:left="720"/>
    </w:pPr>
  </w:style>
  <w:style w:type="paragraph" w:styleId="724">
    <w:name w:val="No Spacing"/>
    <w:uiPriority w:val="1"/>
    <w:qFormat/>
    <w:pPr>
      <w:spacing w:before="0" w:after="0" w:line="240" w:lineRule="auto"/>
    </w:pPr>
  </w:style>
  <w:style w:type="paragraph" w:styleId="725">
    <w:name w:val="Title"/>
    <w:basedOn w:val="883"/>
    <w:next w:val="883"/>
    <w:link w:val="7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6">
    <w:name w:val="Title Char"/>
    <w:link w:val="725"/>
    <w:uiPriority w:val="10"/>
    <w:rPr>
      <w:sz w:val="48"/>
      <w:szCs w:val="48"/>
    </w:rPr>
  </w:style>
  <w:style w:type="paragraph" w:styleId="727">
    <w:name w:val="Subtitle"/>
    <w:basedOn w:val="883"/>
    <w:next w:val="883"/>
    <w:link w:val="728"/>
    <w:uiPriority w:val="11"/>
    <w:qFormat/>
    <w:pPr>
      <w:spacing w:before="200" w:after="200"/>
    </w:pPr>
    <w:rPr>
      <w:sz w:val="24"/>
      <w:szCs w:val="24"/>
    </w:rPr>
  </w:style>
  <w:style w:type="character" w:styleId="728">
    <w:name w:val="Subtitle Char"/>
    <w:link w:val="727"/>
    <w:uiPriority w:val="11"/>
    <w:rPr>
      <w:sz w:val="24"/>
      <w:szCs w:val="24"/>
    </w:rPr>
  </w:style>
  <w:style w:type="paragraph" w:styleId="729">
    <w:name w:val="Quote"/>
    <w:basedOn w:val="883"/>
    <w:next w:val="883"/>
    <w:link w:val="730"/>
    <w:uiPriority w:val="29"/>
    <w:qFormat/>
    <w:pPr>
      <w:ind w:left="720" w:right="720"/>
    </w:pPr>
    <w:rPr>
      <w:i/>
    </w:rPr>
  </w:style>
  <w:style w:type="character" w:styleId="730">
    <w:name w:val="Quote Char"/>
    <w:link w:val="729"/>
    <w:uiPriority w:val="29"/>
    <w:rPr>
      <w:i/>
    </w:rPr>
  </w:style>
  <w:style w:type="paragraph" w:styleId="731">
    <w:name w:val="Intense Quote"/>
    <w:basedOn w:val="883"/>
    <w:next w:val="883"/>
    <w:link w:val="7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>
    <w:name w:val="Intense Quote Char"/>
    <w:link w:val="731"/>
    <w:uiPriority w:val="30"/>
    <w:rPr>
      <w:i/>
    </w:rPr>
  </w:style>
  <w:style w:type="paragraph" w:styleId="733">
    <w:name w:val="Header"/>
    <w:basedOn w:val="883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Header Char"/>
    <w:link w:val="733"/>
    <w:uiPriority w:val="99"/>
  </w:style>
  <w:style w:type="paragraph" w:styleId="735">
    <w:name w:val="Foot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link w:val="735"/>
    <w:uiPriority w:val="99"/>
  </w:style>
  <w:style w:type="paragraph" w:styleId="737">
    <w:name w:val="Caption"/>
    <w:basedOn w:val="883"/>
    <w:next w:val="883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4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4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next w:val="883"/>
    <w:link w:val="883"/>
    <w:qFormat/>
    <w:rPr>
      <w:lang w:val="ru-RU" w:eastAsia="ru-RU" w:bidi="ar-SA"/>
    </w:rPr>
  </w:style>
  <w:style w:type="character" w:styleId="884">
    <w:name w:val="Основной шрифт абзаца"/>
    <w:next w:val="884"/>
    <w:link w:val="883"/>
    <w:uiPriority w:val="1"/>
    <w:semiHidden/>
    <w:unhideWhenUsed/>
  </w:style>
  <w:style w:type="table" w:styleId="885">
    <w:name w:val="Обычная таблица"/>
    <w:next w:val="885"/>
    <w:link w:val="883"/>
    <w:uiPriority w:val="99"/>
    <w:semiHidden/>
    <w:unhideWhenUsed/>
    <w:tblPr/>
  </w:style>
  <w:style w:type="numbering" w:styleId="886">
    <w:name w:val="Нет списка"/>
    <w:next w:val="886"/>
    <w:link w:val="883"/>
    <w:uiPriority w:val="99"/>
    <w:semiHidden/>
    <w:unhideWhenUsed/>
  </w:style>
  <w:style w:type="paragraph" w:styleId="887">
    <w:name w:val="ConsPlusNonformat"/>
    <w:next w:val="887"/>
    <w:link w:val="88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8">
    <w:name w:val="Текст выноски"/>
    <w:basedOn w:val="883"/>
    <w:next w:val="888"/>
    <w:link w:val="883"/>
    <w:semiHidden/>
    <w:rPr>
      <w:rFonts w:ascii="Tahoma" w:hAnsi="Tahoma" w:cs="Tahoma"/>
      <w:sz w:val="16"/>
      <w:szCs w:val="16"/>
    </w:rPr>
  </w:style>
  <w:style w:type="paragraph" w:styleId="889">
    <w:name w:val="ConsPlusTitle"/>
    <w:next w:val="889"/>
    <w:link w:val="883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90">
    <w:name w:val="Стандартный HTML"/>
    <w:basedOn w:val="883"/>
    <w:next w:val="890"/>
    <w:link w:val="898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891">
    <w:name w:val="ConsPlusCell"/>
    <w:next w:val="891"/>
    <w:link w:val="883"/>
    <w:pPr>
      <w:widowControl w:val="off"/>
    </w:pPr>
    <w:rPr>
      <w:lang w:val="ru-RU" w:eastAsia="ru-RU" w:bidi="ar-SA"/>
    </w:rPr>
  </w:style>
  <w:style w:type="table" w:styleId="892">
    <w:name w:val="Сетка таблицы"/>
    <w:basedOn w:val="885"/>
    <w:next w:val="892"/>
    <w:link w:val="883"/>
    <w:uiPriority w:val="59"/>
    <w:tblPr/>
  </w:style>
  <w:style w:type="paragraph" w:styleId="893">
    <w:name w:val="ConsPlusNormal"/>
    <w:next w:val="893"/>
    <w:link w:val="883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894">
    <w:name w:val="Pro-List #1"/>
    <w:basedOn w:val="883"/>
    <w:next w:val="894"/>
    <w:link w:val="895"/>
    <w:qFormat/>
    <w:pPr>
      <w:ind w:left="1134" w:hanging="708"/>
      <w:jc w:val="both"/>
      <w:spacing w:before="180" w:line="288" w:lineRule="auto"/>
      <w:tabs>
        <w:tab w:val="left" w:pos="1134" w:leader="none"/>
      </w:tabs>
    </w:pPr>
    <w:rPr>
      <w:rFonts w:ascii="Georgia" w:hAnsi="Georgia"/>
      <w:szCs w:val="24"/>
    </w:rPr>
  </w:style>
  <w:style w:type="character" w:styleId="895">
    <w:name w:val="Pro-List #1 Знак Знак"/>
    <w:next w:val="895"/>
    <w:link w:val="894"/>
    <w:rPr>
      <w:rFonts w:ascii="Georgia" w:hAnsi="Georgia"/>
      <w:szCs w:val="24"/>
    </w:rPr>
  </w:style>
  <w:style w:type="paragraph" w:styleId="896">
    <w:name w:val="Pro-Gramma"/>
    <w:basedOn w:val="883"/>
    <w:next w:val="896"/>
    <w:link w:val="897"/>
    <w:qFormat/>
    <w:pPr>
      <w:ind w:left="1134"/>
      <w:jc w:val="both"/>
      <w:spacing w:before="120" w:line="288" w:lineRule="auto"/>
    </w:pPr>
    <w:rPr>
      <w:rFonts w:ascii="Georgia" w:hAnsi="Georgia"/>
      <w:szCs w:val="24"/>
    </w:rPr>
  </w:style>
  <w:style w:type="character" w:styleId="897">
    <w:name w:val="Pro-Gramma Знак"/>
    <w:next w:val="897"/>
    <w:link w:val="896"/>
    <w:rPr>
      <w:rFonts w:ascii="Georgia" w:hAnsi="Georgia"/>
      <w:szCs w:val="24"/>
    </w:rPr>
  </w:style>
  <w:style w:type="character" w:styleId="898">
    <w:name w:val="Стандартный HTML Знак"/>
    <w:next w:val="898"/>
    <w:link w:val="890"/>
    <w:rPr>
      <w:rFonts w:ascii="Courier New" w:hAnsi="Courier New" w:cs="Courier New"/>
    </w:rPr>
  </w:style>
  <w:style w:type="paragraph" w:styleId="899">
    <w:name w:val="Схема документа"/>
    <w:basedOn w:val="883"/>
    <w:next w:val="899"/>
    <w:link w:val="900"/>
    <w:uiPriority w:val="99"/>
    <w:semiHidden/>
    <w:unhideWhenUsed/>
    <w:rPr>
      <w:rFonts w:ascii="Tahoma" w:hAnsi="Tahoma" w:cs="Tahoma"/>
      <w:sz w:val="16"/>
      <w:szCs w:val="16"/>
    </w:rPr>
  </w:style>
  <w:style w:type="character" w:styleId="900">
    <w:name w:val="Схема документа Знак"/>
    <w:next w:val="900"/>
    <w:link w:val="899"/>
    <w:uiPriority w:val="99"/>
    <w:semiHidden/>
    <w:rPr>
      <w:rFonts w:ascii="Tahoma" w:hAnsi="Tahoma" w:cs="Tahoma"/>
      <w:sz w:val="16"/>
      <w:szCs w:val="16"/>
    </w:rPr>
  </w:style>
  <w:style w:type="character" w:styleId="901">
    <w:name w:val="Знак примечания"/>
    <w:next w:val="901"/>
    <w:link w:val="883"/>
    <w:uiPriority w:val="99"/>
    <w:semiHidden/>
    <w:unhideWhenUsed/>
    <w:rPr>
      <w:sz w:val="16"/>
      <w:szCs w:val="16"/>
    </w:rPr>
  </w:style>
  <w:style w:type="paragraph" w:styleId="902">
    <w:name w:val="Текст примечания"/>
    <w:basedOn w:val="883"/>
    <w:next w:val="902"/>
    <w:link w:val="903"/>
    <w:uiPriority w:val="99"/>
    <w:semiHidden/>
    <w:unhideWhenUsed/>
  </w:style>
  <w:style w:type="character" w:styleId="903">
    <w:name w:val="Текст примечания Знак"/>
    <w:basedOn w:val="884"/>
    <w:next w:val="903"/>
    <w:link w:val="902"/>
    <w:uiPriority w:val="99"/>
    <w:semiHidden/>
  </w:style>
  <w:style w:type="paragraph" w:styleId="904">
    <w:name w:val="Тема примечания"/>
    <w:basedOn w:val="902"/>
    <w:next w:val="902"/>
    <w:link w:val="905"/>
    <w:uiPriority w:val="99"/>
    <w:semiHidden/>
    <w:unhideWhenUsed/>
    <w:rPr>
      <w:b/>
      <w:bCs/>
    </w:rPr>
  </w:style>
  <w:style w:type="character" w:styleId="905">
    <w:name w:val="Тема примечания Знак"/>
    <w:next w:val="905"/>
    <w:link w:val="904"/>
    <w:uiPriority w:val="99"/>
    <w:semiHidden/>
    <w:rPr>
      <w:b/>
      <w:bCs/>
    </w:rPr>
  </w:style>
  <w:style w:type="table" w:styleId="906">
    <w:name w:val="Pro-Table"/>
    <w:basedOn w:val="885"/>
    <w:next w:val="906"/>
    <w:link w:val="883"/>
    <w:pPr>
      <w:spacing w:before="60" w:after="60"/>
    </w:pPr>
    <w:rPr>
      <w:rFonts w:ascii="Cambria" w:hAnsi="Cambria"/>
      <w:sz w:val="16"/>
    </w:rPr>
    <w:tblPr/>
  </w:style>
  <w:style w:type="paragraph" w:styleId="907">
    <w:name w:val="Абзац списка"/>
    <w:basedOn w:val="883"/>
    <w:next w:val="907"/>
    <w:link w:val="883"/>
    <w:uiPriority w:val="34"/>
    <w:qFormat/>
    <w:pPr>
      <w:contextualSpacing/>
      <w:ind w:left="720"/>
    </w:pPr>
  </w:style>
  <w:style w:type="character" w:styleId="908" w:default="1">
    <w:name w:val="Default Paragraph Font"/>
    <w:uiPriority w:val="1"/>
    <w:semiHidden/>
    <w:unhideWhenUsed/>
  </w:style>
  <w:style w:type="numbering" w:styleId="909" w:default="1">
    <w:name w:val="No List"/>
    <w:uiPriority w:val="99"/>
    <w:semiHidden/>
    <w:unhideWhenUsed/>
  </w:style>
  <w:style w:type="table" w:styleId="910" w:default="1">
    <w:name w:val="Normal Table"/>
    <w:uiPriority w:val="99"/>
    <w:semiHidden/>
    <w:unhideWhenUsed/>
    <w:tblPr/>
  </w:style>
  <w:style w:type="paragraph" w:styleId="911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ЭИ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av_mishneva</cp:lastModifiedBy>
  <cp:revision>25</cp:revision>
  <dcterms:created xsi:type="dcterms:W3CDTF">2026-05-12T13:29:00Z</dcterms:created>
  <dcterms:modified xsi:type="dcterms:W3CDTF">2026-08-31T13:35:22Z</dcterms:modified>
  <cp:version>1048576</cp:version>
</cp:coreProperties>
</file>