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center"/>
        <w:rPr>
          <w:rFonts w:eastAsia="Calibri"/>
          <w:sz w:val="26"/>
          <w:szCs w:val="26"/>
          <w:highlight w:val="yellow"/>
        </w:rPr>
      </w:pPr>
      <w:r>
        <w:rPr>
          <w:rFonts w:ascii="Calibri" w:hAnsi="Calibri" w:eastAsia="Calibri"/>
        </w:rPr>
        <mc:AlternateContent>
          <mc:Choice Requires="wpg">
            <w:drawing>
              <wp:inline xmlns:wp="http://schemas.openxmlformats.org/drawingml/2006/wordprocessingDrawing" distT="0" distB="0" distL="0" distR="0">
                <wp:extent cx="628650" cy="77152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628650"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9.50pt;height:60.75pt;mso-wrap-distance-left:0.00pt;mso-wrap-distance-top:0.00pt;mso-wrap-distance-right:0.00pt;mso-wrap-distance-bottom:0.00pt;" stroked="f">
                <v:path textboxrect="0,0,0,0"/>
                <v:imagedata r:id="rId9" o:title=""/>
              </v:shape>
            </w:pict>
          </mc:Fallback>
        </mc:AlternateContent>
      </w:r>
      <w:r>
        <w:rPr>
          <w:rFonts w:eastAsia="Calibri"/>
          <w:sz w:val="26"/>
          <w:szCs w:val="26"/>
          <w:highlight w:val="yellow"/>
        </w:rPr>
      </w:r>
      <w:r>
        <w:rPr>
          <w:rFonts w:eastAsia="Calibri"/>
          <w:sz w:val="26"/>
          <w:szCs w:val="26"/>
          <w:highlight w:val="yellow"/>
        </w:rPr>
      </w:r>
    </w:p>
    <w:p>
      <w:pPr>
        <w:pStyle w:val="869"/>
        <w:ind w:right="-5"/>
        <w:jc w:val="center"/>
        <w:keepNext/>
        <w:rPr>
          <w:b/>
          <w:iCs/>
          <w:caps/>
          <w:color w:val="548dd4"/>
          <w:spacing w:val="-2"/>
          <w:sz w:val="24"/>
          <w:szCs w:val="24"/>
        </w:rPr>
        <w:outlineLvl w:val="3"/>
      </w:pPr>
      <w:r>
        <w:rPr>
          <w:iCs/>
          <w:caps/>
          <w:color w:val="548dd4"/>
          <w:sz w:val="24"/>
          <w:szCs w:val="24"/>
        </w:rPr>
        <w:t xml:space="preserve">Администрация</w:t>
      </w:r>
      <w:r>
        <w:rPr>
          <w:iCs/>
          <w:caps/>
          <w:color w:val="548dd4"/>
          <w:sz w:val="24"/>
          <w:szCs w:val="24"/>
        </w:rPr>
        <w:t xml:space="preserve"> </w:t>
      </w:r>
      <w:r>
        <w:rPr>
          <w:iCs/>
          <w:caps/>
          <w:color w:val="548dd4"/>
          <w:spacing w:val="-2"/>
          <w:sz w:val="24"/>
          <w:szCs w:val="24"/>
        </w:rPr>
        <w:t xml:space="preserve">Ленинградской области</w:t>
      </w:r>
      <w:r>
        <w:rPr>
          <w:b/>
          <w:iCs/>
          <w:caps/>
          <w:color w:val="548dd4"/>
          <w:spacing w:val="-2"/>
          <w:sz w:val="24"/>
          <w:szCs w:val="24"/>
        </w:rPr>
      </w:r>
      <w:r>
        <w:rPr>
          <w:b/>
          <w:iCs/>
          <w:caps/>
          <w:color w:val="548dd4"/>
          <w:spacing w:val="-2"/>
          <w:sz w:val="24"/>
          <w:szCs w:val="24"/>
        </w:rPr>
      </w:r>
    </w:p>
    <w:p>
      <w:pPr>
        <w:pStyle w:val="869"/>
        <w:ind w:right="-5"/>
        <w:jc w:val="center"/>
        <w:rPr>
          <w:caps/>
          <w:color w:val="548dd4"/>
          <w:sz w:val="13"/>
          <w:szCs w:val="13"/>
          <w:highlight w:val="yellow"/>
        </w:rPr>
      </w:pPr>
      <w:r>
        <w:rPr>
          <w:caps/>
          <w:color w:val="548dd4"/>
          <w:sz w:val="13"/>
          <w:szCs w:val="13"/>
          <w:highlight w:val="yellow"/>
        </w:rPr>
      </w:r>
      <w:r>
        <w:rPr>
          <w:caps/>
          <w:color w:val="548dd4"/>
          <w:sz w:val="13"/>
          <w:szCs w:val="13"/>
          <w:highlight w:val="yellow"/>
        </w:rPr>
      </w:r>
      <w:r>
        <w:rPr>
          <w:caps/>
          <w:color w:val="548dd4"/>
          <w:sz w:val="13"/>
          <w:szCs w:val="13"/>
          <w:highlight w:val="yellow"/>
        </w:rPr>
      </w:r>
    </w:p>
    <w:p>
      <w:pPr>
        <w:pStyle w:val="869"/>
        <w:ind w:right="-5"/>
        <w:jc w:val="center"/>
        <w:tabs>
          <w:tab w:val="left" w:pos="4116" w:leader="none"/>
        </w:tabs>
        <w:rPr>
          <w:b/>
          <w:caps/>
          <w:color w:val="548dd4"/>
          <w:spacing w:val="-8"/>
          <w:u w:val="single"/>
        </w:rPr>
      </w:pPr>
      <w:r>
        <w:rPr>
          <w:b/>
          <w:caps/>
          <w:color w:val="548dd4"/>
          <w:spacing w:val="-8"/>
        </w:rPr>
        <w:t xml:space="preserve">КОМИТЕТ государственного экологического надзора</w:t>
      </w:r>
      <w:r>
        <w:rPr>
          <w:b/>
          <w:caps/>
          <w:color w:val="548dd4"/>
          <w:spacing w:val="-8"/>
          <w:u w:val="single"/>
        </w:rPr>
      </w:r>
      <w:r>
        <w:rPr>
          <w:b/>
          <w:caps/>
          <w:color w:val="548dd4"/>
          <w:spacing w:val="-8"/>
          <w:u w:val="single"/>
        </w:rPr>
      </w:r>
    </w:p>
    <w:p>
      <w:pPr>
        <w:pStyle w:val="869"/>
        <w:ind w:right="-5"/>
        <w:jc w:val="center"/>
        <w:tabs>
          <w:tab w:val="left" w:pos="4116" w:leader="none"/>
        </w:tabs>
        <w:rPr>
          <w:b/>
          <w:caps/>
          <w:color w:val="548dd4"/>
        </w:rPr>
      </w:pPr>
      <w:r>
        <w:rPr>
          <w:b/>
          <w:caps/>
          <w:color w:val="548dd4"/>
        </w:rPr>
        <w:t xml:space="preserve">ленинградской области</w:t>
      </w:r>
      <w:r>
        <w:rPr>
          <w:b/>
          <w:caps/>
          <w:color w:val="548dd4"/>
        </w:rPr>
      </w:r>
      <w:r>
        <w:rPr>
          <w:b/>
          <w:caps/>
          <w:color w:val="548dd4"/>
        </w:rPr>
      </w:r>
    </w:p>
    <w:p>
      <w:pPr>
        <w:pStyle w:val="869"/>
        <w:ind w:right="-5"/>
        <w:jc w:val="center"/>
        <w:rPr>
          <w:caps/>
          <w:color w:val="548dd4"/>
          <w:sz w:val="27"/>
          <w:szCs w:val="27"/>
          <w:highlight w:val="yellow"/>
        </w:rPr>
      </w:pPr>
      <w:r>
        <w:rPr>
          <w:caps/>
          <w:color w:val="548dd4"/>
          <w:sz w:val="27"/>
          <w:szCs w:val="27"/>
          <w:highlight w:val="yellow"/>
        </w:rPr>
      </w:r>
      <w:r>
        <w:rPr>
          <w:caps/>
          <w:color w:val="548dd4"/>
          <w:sz w:val="27"/>
          <w:szCs w:val="27"/>
          <w:highlight w:val="yellow"/>
        </w:rPr>
      </w:r>
      <w:r>
        <w:rPr>
          <w:caps/>
          <w:color w:val="548dd4"/>
          <w:sz w:val="27"/>
          <w:szCs w:val="27"/>
          <w:highlight w:val="yellow"/>
        </w:rPr>
      </w:r>
    </w:p>
    <w:p>
      <w:pPr>
        <w:pStyle w:val="869"/>
        <w:ind w:hanging="240"/>
        <w:jc w:val="center"/>
        <w:tabs>
          <w:tab w:val="left" w:pos="3720" w:leader="none"/>
          <w:tab w:val="left" w:pos="3960" w:leader="none"/>
          <w:tab w:val="left" w:pos="4200" w:leader="none"/>
        </w:tabs>
        <w:rPr>
          <w:b/>
          <w:sz w:val="27"/>
          <w:szCs w:val="27"/>
        </w:rPr>
        <w:outlineLvl w:val="0"/>
      </w:pPr>
      <w:r>
        <w:rPr>
          <w:b/>
          <w:sz w:val="27"/>
          <w:szCs w:val="27"/>
        </w:rPr>
        <w:t xml:space="preserve">ПРИКАЗ</w:t>
      </w:r>
      <w:r>
        <w:rPr>
          <w:b/>
          <w:sz w:val="27"/>
          <w:szCs w:val="27"/>
        </w:rPr>
      </w:r>
      <w:r>
        <w:rPr>
          <w:b/>
          <w:sz w:val="27"/>
          <w:szCs w:val="27"/>
        </w:rPr>
      </w:r>
    </w:p>
    <w:p>
      <w:pPr>
        <w:pStyle w:val="873"/>
        <w:jc w:val="both"/>
        <w:widowControl/>
        <w:tabs>
          <w:tab w:val="left" w:pos="4224" w:leader="none"/>
        </w:tabs>
        <w:rPr>
          <w:rFonts w:ascii="Times New Roman" w:hAnsi="Times New Roman" w:cs="Times New Roman"/>
          <w:sz w:val="27"/>
          <w:szCs w:val="27"/>
        </w:rPr>
      </w:pPr>
      <w:r>
        <w:rPr>
          <w:rFonts w:ascii="Times New Roman" w:hAnsi="Times New Roman" w:cs="Times New Roman"/>
          <w:sz w:val="27"/>
          <w:szCs w:val="27"/>
        </w:rPr>
        <w:tab/>
      </w:r>
      <w:r>
        <w:rPr>
          <w:rFonts w:ascii="Times New Roman" w:hAnsi="Times New Roman" w:cs="Times New Roman"/>
          <w:sz w:val="27"/>
          <w:szCs w:val="27"/>
        </w:rPr>
      </w:r>
      <w:r>
        <w:rPr>
          <w:rFonts w:ascii="Times New Roman" w:hAnsi="Times New Roman" w:cs="Times New Roman"/>
          <w:sz w:val="27"/>
          <w:szCs w:val="27"/>
        </w:rPr>
      </w:r>
    </w:p>
    <w:p>
      <w:pPr>
        <w:pStyle w:val="869"/>
        <w:rPr>
          <w:sz w:val="27"/>
          <w:szCs w:val="27"/>
          <w:u w:val="single"/>
        </w:rPr>
      </w:pPr>
      <w:r>
        <w:rPr>
          <w:sz w:val="27"/>
          <w:szCs w:val="27"/>
        </w:rPr>
        <w:t xml:space="preserve">от «</w:t>
      </w:r>
      <w:r>
        <w:rPr>
          <w:sz w:val="27"/>
          <w:szCs w:val="27"/>
          <w:u w:val="single"/>
        </w:rPr>
        <w:t xml:space="preserve"> </w:t>
      </w:r>
      <w:r>
        <w:rPr>
          <w:sz w:val="27"/>
          <w:szCs w:val="27"/>
          <w:u w:val="single"/>
        </w:rPr>
        <w:t xml:space="preserve">  </w:t>
      </w:r>
      <w:r>
        <w:rPr>
          <w:sz w:val="27"/>
          <w:szCs w:val="27"/>
          <w:u w:val="single"/>
        </w:rPr>
        <w:t xml:space="preserve"> </w:t>
      </w:r>
      <w:r>
        <w:rPr>
          <w:sz w:val="27"/>
          <w:szCs w:val="27"/>
          <w:u w:val="single"/>
        </w:rPr>
        <w:t xml:space="preserve"> </w:t>
      </w:r>
      <w:r>
        <w:rPr>
          <w:sz w:val="27"/>
          <w:szCs w:val="27"/>
        </w:rPr>
        <w:t xml:space="preserve">» </w:t>
      </w:r>
      <w:r>
        <w:rPr>
          <w:sz w:val="27"/>
          <w:szCs w:val="27"/>
        </w:rPr>
        <w:t xml:space="preserve">_________</w:t>
      </w:r>
      <w:r>
        <w:rPr>
          <w:sz w:val="27"/>
          <w:szCs w:val="27"/>
        </w:rPr>
        <w:t xml:space="preserve"> </w:t>
      </w:r>
      <w:r>
        <w:rPr>
          <w:sz w:val="27"/>
          <w:szCs w:val="27"/>
        </w:rPr>
        <w:t xml:space="preserve">202</w:t>
      </w:r>
      <w:r>
        <w:rPr>
          <w:sz w:val="27"/>
          <w:szCs w:val="27"/>
        </w:rPr>
        <w:t xml:space="preserve">6</w:t>
      </w:r>
      <w:r>
        <w:rPr>
          <w:sz w:val="27"/>
          <w:szCs w:val="27"/>
        </w:rPr>
        <w:t xml:space="preserve"> </w:t>
      </w:r>
      <w:r>
        <w:rPr>
          <w:sz w:val="27"/>
          <w:szCs w:val="27"/>
        </w:rPr>
        <w:t xml:space="preserve">года                          </w:t>
      </w:r>
      <w:r>
        <w:rPr>
          <w:sz w:val="27"/>
          <w:szCs w:val="27"/>
        </w:rPr>
        <w:t xml:space="preserve">                 </w:t>
      </w:r>
      <w:r>
        <w:rPr>
          <w:sz w:val="27"/>
          <w:szCs w:val="27"/>
        </w:rPr>
        <w:t xml:space="preserve"> </w:t>
      </w:r>
      <w:r>
        <w:rPr>
          <w:sz w:val="27"/>
          <w:szCs w:val="27"/>
        </w:rPr>
        <w:t xml:space="preserve">                      </w:t>
      </w:r>
      <w:r>
        <w:rPr>
          <w:sz w:val="27"/>
          <w:szCs w:val="27"/>
        </w:rPr>
        <w:t xml:space="preserve">№ </w:t>
      </w:r>
      <w:r>
        <w:rPr>
          <w:sz w:val="27"/>
          <w:szCs w:val="27"/>
        </w:rPr>
        <w:t xml:space="preserve">_______________</w:t>
      </w:r>
      <w:r>
        <w:rPr>
          <w:sz w:val="27"/>
          <w:szCs w:val="27"/>
          <w:u w:val="single"/>
        </w:rPr>
      </w:r>
      <w:r>
        <w:rPr>
          <w:sz w:val="27"/>
          <w:szCs w:val="27"/>
          <w:u w:val="single"/>
        </w:rPr>
      </w:r>
    </w:p>
    <w:p>
      <w:pPr>
        <w:pStyle w:val="869"/>
        <w:rPr>
          <w:b/>
          <w:sz w:val="27"/>
          <w:szCs w:val="27"/>
        </w:rPr>
      </w:pPr>
      <w:r>
        <w:rPr>
          <w:b/>
          <w:sz w:val="27"/>
          <w:szCs w:val="27"/>
        </w:rPr>
      </w:r>
      <w:r>
        <w:rPr>
          <w:b/>
          <w:sz w:val="27"/>
          <w:szCs w:val="27"/>
        </w:rPr>
      </w:r>
      <w:r>
        <w:rPr>
          <w:b/>
          <w:sz w:val="27"/>
          <w:szCs w:val="27"/>
        </w:rPr>
      </w:r>
    </w:p>
    <w:p>
      <w:pPr>
        <w:pStyle w:val="869"/>
        <w:jc w:val="center"/>
        <w:rPr>
          <w:b/>
          <w:sz w:val="27"/>
          <w:szCs w:val="27"/>
        </w:rPr>
      </w:pPr>
      <w:r>
        <w:rPr>
          <w:b/>
          <w:sz w:val="27"/>
          <w:szCs w:val="27"/>
        </w:rPr>
        <w:t xml:space="preserve">О внесении изменений в приказ Комитета государственного</w:t>
      </w:r>
      <w:r>
        <w:rPr>
          <w:b/>
          <w:sz w:val="27"/>
          <w:szCs w:val="27"/>
        </w:rPr>
      </w:r>
      <w:r>
        <w:rPr>
          <w:b/>
          <w:sz w:val="27"/>
          <w:szCs w:val="27"/>
        </w:rPr>
      </w:r>
    </w:p>
    <w:p>
      <w:pPr>
        <w:pStyle w:val="869"/>
        <w:jc w:val="center"/>
        <w:rPr>
          <w:b/>
          <w:sz w:val="27"/>
          <w:szCs w:val="27"/>
        </w:rPr>
      </w:pPr>
      <w:r>
        <w:rPr>
          <w:b/>
          <w:sz w:val="27"/>
          <w:szCs w:val="27"/>
        </w:rPr>
        <w:t xml:space="preserve"> экологического надзора Ленинградской области </w:t>
      </w:r>
      <w:r>
        <w:rPr>
          <w:b/>
          <w:sz w:val="27"/>
          <w:szCs w:val="27"/>
        </w:rPr>
      </w:r>
      <w:r>
        <w:rPr>
          <w:b/>
          <w:sz w:val="27"/>
          <w:szCs w:val="27"/>
        </w:rPr>
      </w:r>
    </w:p>
    <w:p>
      <w:pPr>
        <w:pStyle w:val="869"/>
        <w:jc w:val="center"/>
        <w:rPr>
          <w:b/>
          <w:sz w:val="27"/>
          <w:szCs w:val="27"/>
        </w:rPr>
      </w:pPr>
      <w:r>
        <w:rPr>
          <w:b/>
          <w:sz w:val="27"/>
          <w:szCs w:val="27"/>
        </w:rPr>
        <w:t xml:space="preserve">от 9 января 2020</w:t>
      </w:r>
      <w:r>
        <w:rPr>
          <w:b/>
          <w:sz w:val="27"/>
          <w:szCs w:val="27"/>
        </w:rPr>
        <w:t xml:space="preserve"> года № 1.3-01-1</w:t>
      </w:r>
      <w:r>
        <w:rPr>
          <w:b/>
          <w:sz w:val="27"/>
          <w:szCs w:val="27"/>
        </w:rPr>
        <w:t xml:space="preserve"> «Об организации работы по обработке персональных данных в Комитете государственного экологического надзора Ленинградской области</w:t>
      </w:r>
      <w:r>
        <w:rPr>
          <w:b/>
          <w:sz w:val="27"/>
          <w:szCs w:val="27"/>
        </w:rPr>
        <w:t xml:space="preserve">»</w:t>
      </w:r>
      <w:r>
        <w:rPr>
          <w:b/>
          <w:sz w:val="27"/>
          <w:szCs w:val="27"/>
        </w:rPr>
      </w:r>
      <w:r>
        <w:rPr>
          <w:b/>
          <w:sz w:val="27"/>
          <w:szCs w:val="27"/>
        </w:rPr>
      </w:r>
      <w:r>
        <w:rPr>
          <w:b/>
          <w:sz w:val="27"/>
          <w:szCs w:val="27"/>
        </w:rPr>
      </w:r>
    </w:p>
    <w:p>
      <w:pPr>
        <w:pStyle w:val="869"/>
        <w:jc w:val="center"/>
        <w:rPr>
          <w:b/>
          <w:sz w:val="27"/>
          <w:szCs w:val="27"/>
        </w:rPr>
      </w:pPr>
      <w:r>
        <w:rPr>
          <w:b/>
          <w:sz w:val="27"/>
          <w:szCs w:val="27"/>
        </w:rPr>
      </w:r>
      <w:r>
        <w:rPr>
          <w:b/>
          <w:sz w:val="27"/>
          <w:szCs w:val="27"/>
        </w:rPr>
      </w:r>
      <w:r>
        <w:rPr>
          <w:b/>
          <w:sz w:val="27"/>
          <w:szCs w:val="27"/>
        </w:rPr>
      </w:r>
    </w:p>
    <w:p>
      <w:pPr>
        <w:pStyle w:val="869"/>
        <w:ind w:firstLine="709"/>
        <w:jc w:val="both"/>
        <w:tabs>
          <w:tab w:val="left" w:pos="993" w:leader="none"/>
        </w:tabs>
        <w:rPr>
          <w:sz w:val="27"/>
          <w:szCs w:val="27"/>
        </w:rPr>
      </w:pPr>
      <w:r>
        <w:rPr>
          <w:sz w:val="27"/>
          <w:szCs w:val="27"/>
        </w:rPr>
        <w:t xml:space="preserve">В связи с внесением изменений в постановление Правительства Ленинградской области </w:t>
      </w:r>
      <w:r>
        <w:rPr>
          <w:sz w:val="27"/>
          <w:szCs w:val="27"/>
        </w:rPr>
        <w:t xml:space="preserve">от 11.09.2015 № 358 «Об утверждении типовых организационно-распорядительных документов операторов персональных данных» (постановление Правительства Ленинградской области от 03.08.2026 № 621) и в</w:t>
      </w:r>
      <w:r>
        <w:rPr>
          <w:sz w:val="27"/>
          <w:szCs w:val="27"/>
        </w:rPr>
        <w:t xml:space="preserve"> </w:t>
      </w:r>
      <w:r>
        <w:rPr>
          <w:sz w:val="27"/>
          <w:szCs w:val="27"/>
        </w:rPr>
        <w:t xml:space="preserve">целях приведения </w:t>
        <w:br/>
      </w:r>
      <w:r>
        <w:rPr>
          <w:sz w:val="27"/>
          <w:szCs w:val="27"/>
        </w:rPr>
        <w:t xml:space="preserve">в соответствие с действующим законодательством</w:t>
      </w:r>
      <w:r>
        <w:rPr>
          <w:sz w:val="27"/>
          <w:szCs w:val="27"/>
        </w:rPr>
        <w:t xml:space="preserve"> приказываю:</w:t>
      </w:r>
      <w:r>
        <w:rPr>
          <w:sz w:val="27"/>
          <w:szCs w:val="27"/>
        </w:rPr>
      </w:r>
    </w:p>
    <w:p>
      <w:pPr>
        <w:pStyle w:val="710"/>
        <w:ind w:left="0" w:right="0" w:firstLine="709"/>
        <w:jc w:val="both"/>
        <w:rPr>
          <w:sz w:val="28"/>
          <w:szCs w:val="28"/>
          <w14:ligatures w14:val="none"/>
        </w:rPr>
      </w:pPr>
      <w:r>
        <w:rPr>
          <w:sz w:val="28"/>
          <w:szCs w:val="28"/>
        </w:rPr>
        <w:t xml:space="preserve">1. В Правилах обработки персональных данных в Комитете государственного экологического надзора Ленинградской области:</w:t>
      </w:r>
      <w:r>
        <w:rPr>
          <w:sz w:val="28"/>
          <w:szCs w:val="28"/>
        </w:rPr>
      </w:r>
    </w:p>
    <w:p>
      <w:pPr>
        <w:pStyle w:val="710"/>
        <w:ind w:left="0" w:right="0" w:firstLine="709"/>
        <w:jc w:val="both"/>
        <w:rPr>
          <w:sz w:val="28"/>
          <w:szCs w:val="28"/>
          <w14:ligatures w14:val="none"/>
        </w:rPr>
      </w:pPr>
      <w:r>
        <w:rPr>
          <w:sz w:val="28"/>
          <w:szCs w:val="28"/>
        </w:rPr>
        <w:t xml:space="preserve">пункт 1 изложить в следующей редакции:</w:t>
      </w:r>
      <w:r>
        <w:rPr>
          <w:sz w:val="28"/>
          <w:szCs w:val="28"/>
        </w:rPr>
      </w:r>
    </w:p>
    <w:p>
      <w:pPr>
        <w:pStyle w:val="710"/>
        <w:ind w:left="0" w:right="0" w:firstLine="709"/>
        <w:jc w:val="both"/>
        <w:rPr>
          <w:sz w:val="28"/>
          <w:szCs w:val="28"/>
          <w14:ligatures w14:val="none"/>
        </w:rPr>
      </w:pPr>
      <w:r>
        <w:rPr>
          <w:sz w:val="28"/>
          <w:szCs w:val="28"/>
        </w:rPr>
        <w:t xml:space="preserve">«1. Обработка персональных данных должна осуществляться с соблюдением принципов и правил, предусмотренных Федеральным законом от 27 июля 2006 года № 152-ФЗ «О персональных данных». Обработка персональных данных допускается в случаях, предусмотренных статьей</w:t>
      </w:r>
      <w:r>
        <w:rPr>
          <w:sz w:val="28"/>
          <w:szCs w:val="28"/>
        </w:rPr>
        <w:t xml:space="preserve"> 6 Федерального закона от 27 июля 2006 года </w:t>
        <w:br/>
        <w:t xml:space="preserve">№ 152-ФЗ «О персональных данных».»;</w:t>
      </w:r>
      <w:r>
        <w:rPr>
          <w:sz w:val="28"/>
          <w:szCs w:val="28"/>
        </w:rPr>
      </w:r>
    </w:p>
    <w:p>
      <w:pPr>
        <w:pStyle w:val="710"/>
        <w:ind w:left="0" w:right="0" w:firstLine="709"/>
        <w:jc w:val="both"/>
        <w:rPr>
          <w:sz w:val="28"/>
          <w:szCs w:val="28"/>
          <w14:ligatures w14:val="none"/>
        </w:rPr>
      </w:pPr>
      <w:r>
        <w:rPr>
          <w:sz w:val="28"/>
          <w:szCs w:val="28"/>
        </w:rPr>
        <w:t xml:space="preserve">в пункте 8:</w:t>
      </w:r>
      <w:r>
        <w:rPr>
          <w:sz w:val="28"/>
          <w:szCs w:val="28"/>
        </w:rPr>
      </w:r>
    </w:p>
    <w:p>
      <w:pPr>
        <w:pStyle w:val="710"/>
        <w:ind w:left="0" w:right="0" w:firstLine="709"/>
        <w:jc w:val="both"/>
        <w:rPr>
          <w:sz w:val="28"/>
          <w:szCs w:val="28"/>
          <w14:ligatures w14:val="none"/>
        </w:rPr>
      </w:pPr>
      <w:r>
        <w:rPr>
          <w:sz w:val="28"/>
          <w:szCs w:val="28"/>
        </w:rPr>
        <w:t xml:space="preserve">подпункт 2 изложить в следующей редакции:</w:t>
      </w:r>
      <w:r>
        <w:rPr>
          <w:sz w:val="28"/>
          <w:szCs w:val="28"/>
        </w:rPr>
      </w:r>
    </w:p>
    <w:p>
      <w:pPr>
        <w:pStyle w:val="710"/>
        <w:ind w:left="0" w:right="0" w:firstLine="709"/>
        <w:jc w:val="both"/>
        <w:rPr>
          <w:sz w:val="28"/>
          <w:szCs w:val="28"/>
          <w14:ligatures w14:val="none"/>
        </w:rPr>
      </w:pPr>
      <w:r>
        <w:rPr>
          <w:sz w:val="28"/>
          <w:szCs w:val="28"/>
        </w:rPr>
        <w:t xml:space="preserve">«2) издание документов, определяющих политику оператора в отношении обработки персональных данных, локальных актов по вопросам обработки персональных данных, определяющих для каждой цели обработки персональных данных категории и перечень обрабатываемых перс</w:t>
      </w:r>
      <w:r>
        <w:rPr>
          <w:sz w:val="28"/>
          <w:szCs w:val="28"/>
        </w:rPr>
        <w:t xml:space="preserve">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целей их обработки или при наступлении иных законных оснований, а также локальны</w:t>
      </w:r>
      <w:r>
        <w:rPr>
          <w:sz w:val="28"/>
          <w:szCs w:val="28"/>
        </w:rPr>
        <w:t xml:space="preserve">х актов, устанавливающих процедуры, направленные на предотвращение </w:t>
        <w:br/>
        <w:t xml:space="preserve">и выявление нарушений законодательства Российской Федерации, устранение последствий таких нарушений;»;</w:t>
      </w:r>
      <w:r>
        <w:rPr>
          <w:sz w:val="28"/>
          <w:szCs w:val="28"/>
        </w:rPr>
      </w:r>
    </w:p>
    <w:p>
      <w:pPr>
        <w:pStyle w:val="710"/>
        <w:ind w:left="0" w:right="0" w:firstLine="709"/>
        <w:jc w:val="both"/>
        <w:rPr>
          <w:sz w:val="28"/>
          <w:szCs w:val="28"/>
          <w14:ligatures w14:val="none"/>
        </w:rPr>
      </w:pPr>
      <w:r>
        <w:rPr>
          <w:sz w:val="28"/>
          <w:szCs w:val="28"/>
        </w:rPr>
        <w:t xml:space="preserve">подпункт 3 дополнить словами «(далее - Федеральный закон «О персональных данных»)»;</w:t>
      </w:r>
      <w:r>
        <w:rPr>
          <w:sz w:val="28"/>
          <w:szCs w:val="28"/>
        </w:rPr>
      </w:r>
    </w:p>
    <w:p>
      <w:pPr>
        <w:pStyle w:val="710"/>
        <w:ind w:left="0" w:right="0" w:firstLine="709"/>
        <w:jc w:val="both"/>
        <w:rPr>
          <w:sz w:val="28"/>
          <w:szCs w:val="28"/>
          <w14:ligatures w14:val="none"/>
        </w:rPr>
      </w:pPr>
      <w:r>
        <w:rPr>
          <w:sz w:val="28"/>
          <w:szCs w:val="28"/>
        </w:rPr>
        <w:t xml:space="preserve">подпункт 5 изложить в следующей редакции:</w:t>
      </w:r>
      <w:r>
        <w:rPr>
          <w:sz w:val="28"/>
          <w:szCs w:val="28"/>
        </w:rPr>
      </w:r>
    </w:p>
    <w:p>
      <w:pPr>
        <w:pStyle w:val="710"/>
        <w:ind w:left="0" w:right="0" w:firstLine="709"/>
        <w:jc w:val="both"/>
        <w:rPr>
          <w:sz w:val="28"/>
          <w:szCs w:val="28"/>
          <w14:ligatures w14:val="none"/>
        </w:rPr>
      </w:pPr>
      <w:r>
        <w:rPr>
          <w:sz w:val="28"/>
          <w:szCs w:val="28"/>
        </w:rPr>
        <w:t xml:space="preserve">«5) оценка вреда в соответствии с требованиями, установленными уполномоченным органом по защите прав субъектов персональных данных, который может быть причинен субъектам персональных данных в случае нарушения Федерального закона «О персональных данных», соо</w:t>
      </w:r>
      <w:r>
        <w:rPr>
          <w:sz w:val="28"/>
          <w:szCs w:val="28"/>
        </w:rPr>
        <w:t xml:space="preserve">тношение указанного вреда и принимаемых оператором мер, направленных на обеспечение выполнения обязанностей, предусмотренных Федеральным законом </w:t>
        <w:br/>
        <w:t xml:space="preserve">«О персональных данных»;».</w:t>
      </w:r>
      <w:r>
        <w:rPr>
          <w:sz w:val="28"/>
          <w:szCs w:val="28"/>
        </w:rPr>
      </w:r>
    </w:p>
    <w:p>
      <w:pPr>
        <w:pStyle w:val="710"/>
        <w:ind w:left="0" w:right="0" w:firstLine="709"/>
        <w:jc w:val="both"/>
        <w:rPr>
          <w:sz w:val="28"/>
          <w:szCs w:val="28"/>
          <w14:ligatures w14:val="none"/>
        </w:rPr>
      </w:pPr>
      <w:r>
        <w:rPr>
          <w:sz w:val="28"/>
          <w:szCs w:val="28"/>
        </w:rPr>
        <w:t xml:space="preserve">2. В Правилах рассмотрения запросов субъектов персональных данных или их представителей в Комитете государственного экологического надзора Ленинградской области:</w:t>
      </w:r>
      <w:r>
        <w:rPr>
          <w:sz w:val="28"/>
          <w:szCs w:val="28"/>
        </w:rPr>
      </w:r>
    </w:p>
    <w:p>
      <w:pPr>
        <w:pStyle w:val="710"/>
        <w:ind w:left="0" w:right="0" w:firstLine="709"/>
        <w:jc w:val="both"/>
        <w:rPr>
          <w:sz w:val="28"/>
          <w:szCs w:val="28"/>
          <w14:ligatures w14:val="none"/>
        </w:rPr>
      </w:pPr>
      <w:r>
        <w:rPr>
          <w:sz w:val="28"/>
          <w:szCs w:val="28"/>
        </w:rPr>
        <w:t xml:space="preserve">пункт 4 изложить в следующей редакции:</w:t>
      </w:r>
      <w:r>
        <w:rPr>
          <w:sz w:val="28"/>
          <w:szCs w:val="28"/>
        </w:rPr>
      </w:r>
    </w:p>
    <w:p>
      <w:pPr>
        <w:pStyle w:val="710"/>
        <w:ind w:left="0" w:right="0" w:firstLine="709"/>
        <w:jc w:val="both"/>
        <w:rPr>
          <w:sz w:val="28"/>
          <w:szCs w:val="28"/>
          <w14:ligatures w14:val="none"/>
        </w:rPr>
      </w:pPr>
      <w:r>
        <w:rPr>
          <w:sz w:val="28"/>
          <w:szCs w:val="28"/>
        </w:rPr>
        <w:t xml:space="preserve">«4. Сведения предоставляются субъекту персональных данных или его представителю Комитетом государственного экологического надзора Ленинградской области в течение десяти рабочих дней с момента обращения </w:t>
        <w:br/>
        <w:t xml:space="preserve">либо получения Комитетом государственного экологического надзора Ленинградской области запроса </w:t>
      </w:r>
      <w:r>
        <w:rPr>
          <w:sz w:val="28"/>
          <w:szCs w:val="28"/>
        </w:rPr>
        <w:t xml:space="preserve">субъекта персональных данных или его представителя. Указанный срок может быть продлен, но не более чем на пять рабочих дней в случае направления Комитетом государственного экологического надзора Ленинградской области в адрес субъекта персональных данных мотивированного уведомл</w:t>
      </w:r>
      <w:r>
        <w:rPr>
          <w:sz w:val="28"/>
          <w:szCs w:val="28"/>
        </w:rPr>
        <w:t xml:space="preserve">ения с указанием причин продления срока предоставления запрашиваемой информации.</w:t>
      </w:r>
      <w:r>
        <w:rPr>
          <w:sz w:val="28"/>
          <w:szCs w:val="28"/>
        </w:rPr>
      </w:r>
    </w:p>
    <w:p>
      <w:pPr>
        <w:pStyle w:val="710"/>
        <w:ind w:left="0" w:right="0" w:firstLine="709"/>
        <w:jc w:val="both"/>
        <w:rPr>
          <w:sz w:val="28"/>
          <w:szCs w:val="28"/>
          <w14:ligatures w14:val="none"/>
        </w:rPr>
      </w:pPr>
      <w:r>
        <w:rPr>
          <w:sz w:val="28"/>
          <w:szCs w:val="28"/>
        </w:rPr>
        <w:t xml:space="preserve">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w:t>
      </w:r>
      <w:r>
        <w:rPr>
          <w:sz w:val="28"/>
          <w:szCs w:val="28"/>
        </w:rPr>
        <w:t xml:space="preserve">в отношениях с Комитетом государственного экологического надзора Ленинградской области (номер договора, дата заключения договора, условное словесное обозначение и(или) иные сведения), либо сведения, иным образом подтверждающие факт обработки персональных данных Комитетом государственного экологического надзора</w:t>
      </w:r>
      <w:r>
        <w:rPr>
          <w:sz w:val="28"/>
          <w:szCs w:val="28"/>
        </w:rPr>
        <w:t xml:space="preserve"> Ленинградской области,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r>
        <w:rPr>
          <w:sz w:val="28"/>
          <w:szCs w:val="28"/>
        </w:rPr>
      </w:r>
    </w:p>
    <w:p>
      <w:pPr>
        <w:pStyle w:val="710"/>
        <w:ind w:left="0" w:right="0" w:firstLine="709"/>
        <w:jc w:val="both"/>
        <w:rPr>
          <w:sz w:val="28"/>
          <w:szCs w:val="28"/>
          <w14:ligatures w14:val="none"/>
        </w:rPr>
      </w:pPr>
      <w:r>
        <w:rPr>
          <w:sz w:val="28"/>
          <w:szCs w:val="28"/>
        </w:rPr>
        <w:t xml:space="preserve">Комитет государственного экологического надзора Ленинградской области предоставляет сведения субъекту персональных данных или его представителю </w:t>
        <w:br/>
        <w:t xml:space="preserve">в той форме, в которой направлены соответствующие обращение либо запрос, если иное не указано в обращении или запросе.»;</w:t>
      </w:r>
      <w:r>
        <w:rPr>
          <w:sz w:val="28"/>
          <w:szCs w:val="28"/>
        </w:rPr>
      </w:r>
    </w:p>
    <w:p>
      <w:pPr>
        <w:pStyle w:val="710"/>
        <w:ind w:left="0" w:right="0" w:firstLine="709"/>
        <w:jc w:val="both"/>
        <w:rPr>
          <w:sz w:val="28"/>
          <w:szCs w:val="28"/>
          <w:highlight w:val="white"/>
          <w14:ligatures w14:val="none"/>
        </w:rPr>
      </w:pPr>
      <w:r>
        <w:rPr>
          <w:sz w:val="28"/>
          <w:szCs w:val="28"/>
          <w:highlight w:val="white"/>
        </w:rPr>
        <w:t xml:space="preserve">дополнить пунктами 8 - 10 следующего содержания:</w:t>
      </w:r>
      <w:r>
        <w:rPr>
          <w:sz w:val="28"/>
          <w:szCs w:val="28"/>
          <w:highlight w:val="white"/>
        </w:rPr>
      </w:r>
    </w:p>
    <w:p>
      <w:pPr>
        <w:pStyle w:val="710"/>
        <w:ind w:left="0" w:right="0" w:firstLine="709"/>
        <w:jc w:val="both"/>
        <w:rPr>
          <w:sz w:val="28"/>
          <w:szCs w:val="28"/>
          <w14:ligatures w14:val="none"/>
        </w:rPr>
      </w:pPr>
      <w:r>
        <w:rPr>
          <w:sz w:val="28"/>
          <w:szCs w:val="28"/>
        </w:rPr>
        <w:t xml:space="preserve">«8. 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w:t>
      </w:r>
      <w:r>
        <w:rPr>
          <w:sz w:val="28"/>
          <w:szCs w:val="28"/>
        </w:rPr>
        <w:t xml:space="preserve">ональных данных или его представителя Комитет государственного экологического надзора Ленинградской области обязан дать в письменной форме мотивированный ответ, содержащий ссылку на положение части 8 статьи 14 Федерального закона «О персональных д</w:t>
      </w:r>
      <w:r>
        <w:rPr>
          <w:sz w:val="28"/>
          <w:szCs w:val="28"/>
        </w:rPr>
        <w:t xml:space="preserve">анных» или иного федерального закона, являющееся основанием для такого отказа, в срок, </w:t>
        <w:br/>
        <w:t xml:space="preserve">не превышающий десяти рабочих дней со дня обращения субъекта персональных данных или его представителя либо с даты получения запроса субъекта персональных данных или его </w:t>
      </w:r>
      <w:r>
        <w:rPr>
          <w:sz w:val="28"/>
          <w:szCs w:val="28"/>
        </w:rPr>
        <w:t xml:space="preserve">представителя. Указанный срок может быть продлен, но не более чем на пять рабочих дней в случае направления Комитетом государственного экологического надзора Ленинградской области в адрес субъекта персональных данных мотивированного уведомления с указанием причин продления сро</w:t>
      </w:r>
      <w:r>
        <w:rPr>
          <w:sz w:val="28"/>
          <w:szCs w:val="28"/>
        </w:rPr>
        <w:t xml:space="preserve">ка предоставления запрашиваемой информации.</w:t>
      </w:r>
      <w:r>
        <w:rPr>
          <w:sz w:val="28"/>
          <w:szCs w:val="28"/>
        </w:rPr>
      </w:r>
    </w:p>
    <w:p>
      <w:pPr>
        <w:pStyle w:val="710"/>
        <w:ind w:left="0" w:right="0" w:firstLine="709"/>
        <w:jc w:val="both"/>
        <w:rPr>
          <w:sz w:val="28"/>
          <w:szCs w:val="28"/>
          <w14:ligatures w14:val="none"/>
        </w:rPr>
      </w:pPr>
      <w:r>
        <w:rPr>
          <w:sz w:val="28"/>
          <w:szCs w:val="28"/>
        </w:rPr>
        <w:t xml:space="preserve">9. Комитет государственного экологического надзора Ленинградской области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w:t>
      </w:r>
      <w:r>
        <w:rPr>
          <w:sz w:val="28"/>
          <w:szCs w:val="28"/>
        </w:rPr>
        <w:t xml:space="preserve">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Комитет государственного экологического надзора Ленинградской области обязан внес</w:t>
      </w:r>
      <w:r>
        <w:rPr>
          <w:sz w:val="28"/>
          <w:szCs w:val="28"/>
        </w:rPr>
        <w:t xml:space="preserve">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w:t>
      </w:r>
      <w:r>
        <w:rPr>
          <w:sz w:val="28"/>
          <w:szCs w:val="28"/>
        </w:rPr>
        <w:t xml:space="preserve">имыми для заявленной цели обработки, Комитет государственного экологического надзора Ленинградской области обязан уничтожить такие персональные данные. Комитет государственного экологического надзора Ленинградской области обязан уведомить субъекта персональных данных или его представителя о внесе</w:t>
      </w:r>
      <w:r>
        <w:rPr>
          <w:sz w:val="28"/>
          <w:szCs w:val="28"/>
        </w:rPr>
        <w:t xml:space="preserve">нных изменениях и предпринятых мерах и принять разумные меры для уведомления третьих лиц, которым персональные данные этого субъекта были переданы.</w:t>
      </w:r>
      <w:r>
        <w:rPr>
          <w:sz w:val="28"/>
          <w:szCs w:val="28"/>
        </w:rPr>
      </w:r>
    </w:p>
    <w:p>
      <w:pPr>
        <w:pStyle w:val="710"/>
        <w:ind w:left="0" w:right="0" w:firstLine="709"/>
        <w:jc w:val="both"/>
        <w:rPr>
          <w:sz w:val="28"/>
          <w:szCs w:val="28"/>
          <w14:ligatures w14:val="none"/>
        </w:rPr>
      </w:pPr>
      <w:r>
        <w:rPr>
          <w:sz w:val="28"/>
          <w:szCs w:val="28"/>
        </w:rPr>
        <w:t xml:space="preserve">10. Комитет государственного экологического надзора Ленинградской области обязан сообщить в уполномоченный орган по защите прав субъектов персональных данных по запросу этого органа необходимую информацию в течение десяти рабочих дней с даты получения такого запроса. Указанный</w:t>
      </w:r>
      <w:r>
        <w:rPr>
          <w:sz w:val="28"/>
          <w:szCs w:val="28"/>
        </w:rPr>
        <w:t xml:space="preserve"> срок может быть продлен, но не более чем на пять рабочих дней в случае направления Комитетом государственного экологического надзора Ленинградской области в адрес уполномоченного органа по защите прав субъектов персональных данных мотивированного уведомления с указанием причи</w:t>
      </w:r>
      <w:r>
        <w:rPr>
          <w:sz w:val="28"/>
          <w:szCs w:val="28"/>
        </w:rPr>
        <w:t xml:space="preserve">н продления срока предоставления запрашиваемой информации.».</w:t>
      </w:r>
      <w:r>
        <w:rPr>
          <w:sz w:val="28"/>
          <w:szCs w:val="28"/>
        </w:rPr>
      </w:r>
    </w:p>
    <w:p>
      <w:pPr>
        <w:pStyle w:val="710"/>
        <w:ind w:left="0" w:right="0" w:firstLine="709"/>
        <w:jc w:val="both"/>
        <w:rPr>
          <w:sz w:val="28"/>
          <w:szCs w:val="28"/>
          <w14:ligatures w14:val="none"/>
        </w:rPr>
      </w:pPr>
      <w:r>
        <w:rPr>
          <w:sz w:val="28"/>
          <w:szCs w:val="28"/>
        </w:rPr>
        <w:t xml:space="preserve">3. </w:t>
      </w:r>
      <w:r>
        <w:rPr>
          <w:sz w:val="28"/>
          <w:szCs w:val="28"/>
          <w14:ligatures w14:val="none"/>
        </w:rPr>
      </w:r>
      <w:r>
        <w:rPr>
          <w:sz w:val="28"/>
          <w:szCs w:val="28"/>
        </w:rPr>
        <w:t xml:space="preserve">В Правилах работы с обезличенными данными в случае обезличивания персональных данных в Комитете государственного экологического надзора Ленинградской области:</w:t>
      </w:r>
      <w:r/>
      <w:r>
        <w:rPr>
          <w:sz w:val="28"/>
          <w:szCs w:val="28"/>
          <w14:ligatures w14:val="none"/>
        </w:rPr>
      </w:r>
    </w:p>
    <w:p>
      <w:pPr>
        <w:pStyle w:val="710"/>
        <w:ind w:left="0" w:right="0" w:firstLine="709"/>
        <w:jc w:val="both"/>
        <w:rPr>
          <w:sz w:val="28"/>
          <w:szCs w:val="28"/>
          <w14:ligatures w14:val="none"/>
        </w:rPr>
      </w:pPr>
      <w:r>
        <w:rPr>
          <w:sz w:val="28"/>
          <w:szCs w:val="28"/>
        </w:rPr>
        <w:t xml:space="preserve">пункты 1 - 2 изложить в следующей редакции:</w:t>
      </w:r>
      <w:r>
        <w:rPr>
          <w:sz w:val="28"/>
          <w:szCs w:val="28"/>
          <w14:ligatures w14:val="none"/>
        </w:rPr>
      </w:r>
      <w:r>
        <w:rPr>
          <w:sz w:val="28"/>
          <w:szCs w:val="28"/>
          <w14:ligatures w14:val="none"/>
        </w:rPr>
      </w:r>
    </w:p>
    <w:p>
      <w:pPr>
        <w:pStyle w:val="710"/>
        <w:ind w:left="0" w:right="0" w:firstLine="709"/>
        <w:jc w:val="both"/>
        <w:rPr>
          <w:sz w:val="28"/>
          <w:szCs w:val="28"/>
          <w:highlight w:val="none"/>
          <w14:ligatures w14:val="none"/>
        </w:rPr>
      </w:pPr>
      <w:r>
        <w:rPr>
          <w:sz w:val="28"/>
          <w:szCs w:val="28"/>
        </w:rPr>
        <w:t xml:space="preserve">«1.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r>
        <w:rPr>
          <w:sz w:val="28"/>
          <w:szCs w:val="28"/>
        </w:rPr>
      </w:r>
    </w:p>
    <w:p>
      <w:pPr>
        <w:pStyle w:val="710"/>
        <w:ind w:left="0" w:right="0" w:firstLine="709"/>
        <w:jc w:val="both"/>
        <w:rPr>
          <w:sz w:val="28"/>
          <w:szCs w:val="28"/>
          <w14:ligatures w14:val="none"/>
        </w:rPr>
      </w:pPr>
      <w:r>
        <w:rPr>
          <w:sz w:val="28"/>
          <w:szCs w:val="28"/>
        </w:rPr>
        <w:t xml:space="preserve">2. При обезличивании персональных данных Комитет государственного экологического надзора Ленинградской области должен обеспечить соблюдение требований к обезличиванию персональных данных и методов обезличивания персональных данных в соответствии с приказом Роскомнадзора от 19 </w:t>
      </w:r>
      <w:r>
        <w:rPr>
          <w:sz w:val="28"/>
          <w:szCs w:val="28"/>
        </w:rPr>
        <w:t xml:space="preserve">июня </w:t>
        <w:br/>
        <w:t xml:space="preserve">2025 года № 140 «Об утверждении требований к обезличиванию персональных данных и методов обезличивания персональных данных, за исключением случаев, указанных в пункте 9.1 части 1 статьи 6 Федерального закона от 27 июля 2006 г. </w:t>
        <w:br/>
        <w:t xml:space="preserve">№ 152-ФЗ «О персональных </w:t>
      </w:r>
      <w:r>
        <w:rPr>
          <w:sz w:val="28"/>
          <w:szCs w:val="28"/>
        </w:rPr>
        <w:t xml:space="preserve">данных».</w:t>
      </w:r>
      <w:r>
        <w:rPr>
          <w:sz w:val="28"/>
          <w:szCs w:val="28"/>
        </w:rPr>
      </w:r>
    </w:p>
    <w:p>
      <w:pPr>
        <w:pStyle w:val="710"/>
        <w:ind w:left="0" w:right="0" w:firstLine="709"/>
        <w:jc w:val="both"/>
        <w:rPr>
          <w:sz w:val="28"/>
          <w:szCs w:val="28"/>
          <w14:ligatures w14:val="none"/>
        </w:rPr>
      </w:pPr>
      <w:r>
        <w:rPr>
          <w:sz w:val="28"/>
          <w:szCs w:val="28"/>
        </w:rPr>
        <w:t xml:space="preserve">4. Перечень персональных данных, обрабатываемых в Комитете государственного экологического надзора Ленинградской области в связи </w:t>
        <w:br/>
        <w:t xml:space="preserve">с реализацией служебных или трудовых отношений, а также оказанием государственных услуг и осуществлением государственных функций, изложить </w:t>
        <w:br/>
        <w:t xml:space="preserve">в следующ</w:t>
      </w:r>
      <w:r>
        <w:rPr>
          <w:sz w:val="28"/>
          <w:szCs w:val="28"/>
        </w:rPr>
        <w:t xml:space="preserve">ей редакции:</w:t>
      </w:r>
      <w:r>
        <w:rPr>
          <w:sz w:val="28"/>
          <w:szCs w:val="28"/>
        </w:rPr>
      </w:r>
    </w:p>
    <w:p>
      <w:pPr>
        <w:pStyle w:val="869"/>
        <w:ind w:firstLine="709"/>
        <w:jc w:val="both"/>
      </w:pPr>
      <w:r>
        <w:rPr>
          <w:sz w:val="27"/>
          <w:szCs w:val="27"/>
        </w:rPr>
      </w:r>
      <w:r/>
    </w:p>
    <w:p>
      <w:pPr>
        <w:pStyle w:val="869"/>
        <w:ind w:firstLine="709"/>
        <w:jc w:val="center"/>
      </w:pPr>
      <w:r>
        <w:rPr>
          <w:sz w:val="27"/>
          <w:szCs w:val="27"/>
        </w:rPr>
        <w:t xml:space="preserve">«ПЕРЕЧЕНЬ</w:t>
      </w:r>
      <w:r/>
    </w:p>
    <w:p>
      <w:pPr>
        <w:pStyle w:val="869"/>
        <w:ind w:firstLine="709"/>
        <w:jc w:val="center"/>
        <w:rPr>
          <w:sz w:val="27"/>
          <w:szCs w:val="27"/>
        </w:rPr>
      </w:pPr>
      <w:r>
        <w:rPr>
          <w:sz w:val="27"/>
          <w:szCs w:val="27"/>
        </w:rPr>
        <w:t xml:space="preserve">ПЕРСОНАЛЬНЫХ ДАННЫХ, ОБРАБАТЫВАЕМЫХ В КОМИТЕТЕ ГОСУДАРСТВЕННОГО ЭКОЛОГИЧЕСКОГО НАДЗОРА </w:t>
      </w:r>
      <w:r/>
      <w:r>
        <w:rPr>
          <w:sz w:val="27"/>
          <w:szCs w:val="27"/>
        </w:rPr>
        <w:t xml:space="preserve">ЛЕНИНГРАДСКОЙ ОБЛАСТИ В СВЯЗИ С РЕАЛИЗАЦИЕЙ СЛУЖЕБНЫХ</w:t>
      </w:r>
      <w:r>
        <w:rPr>
          <w:sz w:val="27"/>
          <w:szCs w:val="27"/>
        </w:rPr>
        <w:t xml:space="preserve"> </w:t>
      </w:r>
      <w:r>
        <w:rPr>
          <w:sz w:val="27"/>
          <w:szCs w:val="27"/>
        </w:rPr>
      </w:r>
      <w:r>
        <w:rPr>
          <w:sz w:val="27"/>
          <w:szCs w:val="27"/>
        </w:rPr>
        <w:t xml:space="preserve">ИЛИ ТРУДОВЫХ ОТНОШЕНИЙ, А ТАКЖЕ ОКАЗАНИЕМ ГОСУДАРСТВЕННЫХ </w:t>
      </w:r>
      <w:r/>
      <w:r>
        <w:rPr>
          <w:sz w:val="27"/>
          <w:szCs w:val="27"/>
        </w:rPr>
        <w:t xml:space="preserve">УСЛУГ </w:t>
      </w:r>
      <w:r>
        <w:rPr>
          <w:sz w:val="27"/>
          <w:szCs w:val="27"/>
        </w:rPr>
      </w:r>
    </w:p>
    <w:p>
      <w:pPr>
        <w:ind w:firstLine="709"/>
        <w:jc w:val="center"/>
        <w:rPr>
          <w:sz w:val="27"/>
          <w:szCs w:val="27"/>
        </w:rPr>
      </w:pPr>
      <w:r>
        <w:rPr>
          <w:sz w:val="27"/>
          <w:szCs w:val="27"/>
        </w:rPr>
        <w:t xml:space="preserve">И ОСУЩЕСТВЛЕНИЕМ ГОСУДАРСТВЕННЫХ ФУНКЦИЙ</w:t>
      </w:r>
      <w:r>
        <w:rPr>
          <w:sz w:val="27"/>
          <w:szCs w:val="27"/>
        </w:rPr>
      </w:r>
      <w:r/>
    </w:p>
    <w:p>
      <w:pPr>
        <w:ind w:firstLine="709"/>
        <w:jc w:val="both"/>
        <w:rPr>
          <w:sz w:val="27"/>
          <w:szCs w:val="27"/>
        </w:rPr>
      </w:pPr>
      <w:r>
        <w:rPr>
          <w:sz w:val="27"/>
          <w:szCs w:val="27"/>
          <w:highlight w:val="none"/>
        </w:rPr>
      </w:r>
      <w:r>
        <w:rPr>
          <w:sz w:val="27"/>
          <w:szCs w:val="27"/>
          <w:highlight w:val="none"/>
        </w:rP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62" w:type="dxa"/>
          <w:top w:w="102" w:type="dxa"/>
          <w:right w:w="62" w:type="dxa"/>
          <w:bottom w:w="102" w:type="dxa"/>
        </w:tblCellMar>
        <w:tblLook w:val="04A0" w:firstRow="1" w:lastRow="0" w:firstColumn="1" w:lastColumn="0" w:noHBand="0" w:noVBand="1"/>
      </w:tblPr>
      <w:tblGrid>
        <w:gridCol w:w="9133"/>
      </w:tblGrid>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Персональные данные должностных лиц в органе исполнительной власти Ленинградской области: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фамилия, имя, отчество</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информация о смене фамилии, имени, отчества</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пол</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дата рождения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место рождения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гражданство</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документ, удостоверяющий личность (серия, номер, когда и кем выдан)</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из записей актов гражданского состояния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место жительства и дата регистрации по месту жительства</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номера контактных телефонов</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семейное положение</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состав семьи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наличии детей, их возрасте, месте учебы (работы)</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содержащиеся в служебном контракте, трудовом договоре</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отношение к воинской обязанности, воинское звание, состав рода войск, военный билет, приписное свидетельство, сведения о постановке на воинский учет и прохождении службы в Вооруженных Силах</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получении пр</w:t>
            </w:r>
            <w:r>
              <w:rPr>
                <w:rFonts w:ascii="Times New Roman" w:hAnsi="Times New Roman" w:eastAsia="Times New Roman" w:cs="Times New Roman"/>
                <w:b w:val="0"/>
                <w:i w:val="0"/>
                <w:strike w:val="0"/>
                <w:sz w:val="24"/>
                <w:szCs w:val="24"/>
                <w:lang w:val="ru-RU"/>
              </w:rPr>
              <w:t xml:space="preserve">офессионального и дополнительного образования (наименование образовательного учреждения, специальность и квалификация по документу об образовании; документ об образовании, квалификации, наименование документа об образовании, его серия и номер, дата выдачи)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об уровне специальных знаний (работа на компьютере, знание иностранного языка)</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профессиональной переподготовке, повышении квалификации, стажировке</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трудовой деятельности, общем трудовом стаже и стаже государственной гражданской службы</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замещаемой должности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классных чинах, военных и специальных званиях</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состоянии здоровья и его соответствии выполняемой работе, наличии группы инвалидности и степени ограничения способности к трудовой деятельности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об отпусках и командировках</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прохождении аттестации и сдаче квалификационного экзамена</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документах, связанных с оформлением допуска к сведениям, составляющим государственную или иную охраняемую законом тайну, если исполнение обязанностей по замещаемой должности связано с использованием таких сведений</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награждении (поощрении)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материалы служебных проверок, расследований</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взысканиях</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реквизиты идентификационного номера налогоплательщика (ИНН)</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реквизиты страхового номера индивидуального лицевого счета в Фонде пенсионного </w:t>
              <w:br/>
              <w:t xml:space="preserve">и социального страхования Российской Федерации (СНИЛС)</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реквизиты полиса обязательного медицинского страхования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доходах, имуществе и обязательствах имущественного характера государственного гражданского служащего и членов его семьи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социальных льготах</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информация о доходах, выплатах и удержаниях</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номера банковских счетов</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both"/>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фото</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Персональные данные граждан, включенных в кадровый резерв, не допущенных </w:t>
              <w:br/>
              <w:t xml:space="preserve">к участию в конкурсах, и граждан, участвовавших в конкурсах, но не прошедших конкурсный отбор:</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фамилия, имя, отчество</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информация о смене фамилии, имени, отчества</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пол</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дата рождения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место рождения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гражданство</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документ, удостоверяющий личность (серия, номер, когда и кем выдан)</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место жительства и дата регистрации по месту жительства</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номера контактных телефонов</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семейное положение</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состав семьи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наличии детей, их возрасте, месте учебы (работы)</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отношение к воинской обязанности, воинское звание</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состав рода войск, военный билет, приписное свидетельство, сведения о постановке на воинский учет и прохождении службы в Вооруженных Силах</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получении пр</w:t>
            </w:r>
            <w:r>
              <w:rPr>
                <w:rFonts w:ascii="Times New Roman" w:hAnsi="Times New Roman" w:eastAsia="Times New Roman" w:cs="Times New Roman"/>
                <w:b w:val="0"/>
                <w:i w:val="0"/>
                <w:strike w:val="0"/>
                <w:sz w:val="24"/>
                <w:szCs w:val="24"/>
                <w:lang w:val="ru-RU"/>
              </w:rPr>
              <w:t xml:space="preserve">офессионального и дополнительного образования (наименование образовательного учреждения, специальность и квалификация по документу об образовании; документ об образовании, квалификации, наименование документа об образовании, его серия и номер, дата выдачи)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об уровне специальных знаний (работа на компьютере, знание иностранного языка)</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профессиональной переподготовке, повышении квалификации, стажировке</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трудовой деятельности, общем трудовом стаже и стаже государственной гражданской службы</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замещаемой должности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классных чинах, военных и специальных званиях</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состоянии здоровья и его соответствии выполняемой работе, наличии группы инвалидности и степени ограничения способности к трудовой деятельности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награждении (поощрении)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реквизиты идентификационного номера налогоплательщика (ИНН)</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реквизиты страхового номера индивидуального лицевого счета в Фонде пенсионного и социального страхования Российской Федерации (СНИЛС)</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фото</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Персональные данные граждан, обрабатываемые в связи с рассмотрением обращений граждан:</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фамилия, имя, отчество</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адрес места жительства</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иные персональные данные, содержащиеся в обращениях граждан</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Персональные данные граждан, обрабатываемые при подготовке и оформлении документов по представлению к награждению государственными наградами Российской Федерации, наградами Ленинградской области и присвоению почетных званий Ленинградской области: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фамилия, имя, отчество</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пол</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дата рождения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место рождения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документ, удостоверяющий личность (серия, номер, когда и кем выдан)</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место жительства и дата регистрации по месту жительства</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семейное положение</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состав семьи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наличии детей, их возрасте, месте учебы (работы)</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получении профессионального и дополнительного образования (наименование образовательного учреждения, специальность и квалификация по документу об образовании)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трудовой деятельности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замещаемой должности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прохождении аттестации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награждении (поощрении)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иные персональные данные, содержащиеся в представлениях к награждению</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Персональные данные граждан, обрабатываемые в связи с оказанием государственных услуг и осуществлением государственных функций:</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фамилия, имя, отчество</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адрес и дата регистрации по месту жительства (места пребывания)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адрес фактического проживания (места нахождения)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дата рождения (число, месяц и год рождения)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вид, серия, номер документа, удостоверяющего личность гражданина Российской Федерации, наименование органа и код подразделения органа (при наличии), выдавшего его, дата выдачи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семейном положении, о составе семьи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реквизиты свидетельств государственной регистрации актов гражданского состояния и содержащиеся в них сведения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об образовании (наименование образовательной и(или) иной организ</w:t>
            </w:r>
            <w:r>
              <w:rPr>
                <w:rFonts w:ascii="Times New Roman" w:hAnsi="Times New Roman" w:eastAsia="Times New Roman" w:cs="Times New Roman"/>
                <w:b w:val="0"/>
                <w:i w:val="0"/>
                <w:strike w:val="0"/>
                <w:sz w:val="24"/>
                <w:szCs w:val="24"/>
                <w:lang w:val="ru-RU"/>
              </w:rPr>
              <w:t xml:space="preserve">ации, год окончания, уровень профессионального образования, реквизиты документов об образовании, направление подготовки, специальность и квалификация по документу об образовании, ученая степень, ученое звание (дата присвоения, реквизиты диплома, аттестата)</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дополнительном профессиональном образовании (профессиональной переподготовке, повышении квалификации) (наименование образовате</w:t>
            </w:r>
            <w:r>
              <w:rPr>
                <w:rFonts w:ascii="Times New Roman" w:hAnsi="Times New Roman" w:eastAsia="Times New Roman" w:cs="Times New Roman"/>
                <w:b w:val="0"/>
                <w:i w:val="0"/>
                <w:strike w:val="0"/>
                <w:sz w:val="24"/>
                <w:szCs w:val="24"/>
                <w:lang w:val="ru-RU"/>
              </w:rPr>
              <w:t xml:space="preserve">льной и(или) научной организации, год окончания, реквизиты документа о переподготовке (повышении квалификации), квалификация и специальность по документу о переподготовке (повышении квалификации), наименование программы обучения, количество часов обучения)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реквизиты идентификационного номера налогоплательщика (ИНН)</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реквизиты страхового номера индивидуального лицевого счета в Фонде пенсионного и социального страхования Российской Федерации (СНИЛС)</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реквизиты полиса обязательного медицинского страхования</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 воинском учете, реквизиты документов воинского учета, а также сведения, содержащиеся в документах воинского учета</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номера контактных телефонов (домашнего, служебного, мобильного)</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сведения об инвалидности, сроке действия установленной инвалидности</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Borders>
              <w:top w:val="single" w:color="000000" w:sz="4" w:space="0"/>
              <w:left w:val="single" w:color="000000" w:sz="4" w:space="0"/>
              <w:bottom w:val="single" w:color="000000" w:sz="4" w:space="0"/>
              <w:right w:val="single" w:color="000000" w:sz="4" w:space="0"/>
            </w:tcBorders>
            <w:tcW w:w="9133"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иные сведения, которые субъект персональных данных пожелал сообщить о себе</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bl>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62" w:type="dxa"/>
          <w:top w:w="102" w:type="dxa"/>
          <w:right w:w="62" w:type="dxa"/>
          <w:bottom w:w="102" w:type="dxa"/>
        </w:tblCellMar>
        <w:tblLook w:val="04A0" w:firstRow="1" w:lastRow="0" w:firstColumn="1" w:lastColumn="0" w:noHBand="0" w:noVBand="1"/>
      </w:tblPr>
      <w:tblGrid>
        <w:gridCol w:w="2216"/>
        <w:gridCol w:w="2324"/>
        <w:gridCol w:w="340"/>
        <w:gridCol w:w="4252"/>
      </w:tblGrid>
      <w:tr>
        <w:tblPrEx/>
        <w:trPr>
          <w:jc w:val="left"/>
        </w:trPr>
        <w:tc>
          <w:tcPr>
            <w:tcW w:w="2216"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Руководитель</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c>
          <w:tcPr>
            <w:tcBorders>
              <w:bottom w:val="single" w:color="000000" w:sz="4" w:space="0"/>
            </w:tcBorders>
            <w:tcW w:w="2324"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c>
          <w:tcPr>
            <w:tcW w:w="340"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c>
          <w:tcPr>
            <w:tcBorders>
              <w:bottom w:val="single" w:color="000000" w:sz="4" w:space="0"/>
            </w:tcBorders>
            <w:tcW w:w="4252"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tcW w:w="2216"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c>
          <w:tcPr>
            <w:tcBorders>
              <w:top w:val="single" w:color="000000" w:sz="4" w:space="0"/>
            </w:tcBorders>
            <w:tcW w:w="2324" w:type="dxa"/>
            <w:textDirection w:val="lrTb"/>
            <w:noWrap w:val="false"/>
          </w:tcPr>
          <w:p>
            <w:pPr>
              <w:ind w:left="0" w:firstLine="0"/>
              <w:jc w:val="center"/>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(подпись)</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c>
          <w:tcPr>
            <w:tcW w:w="340"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c>
          <w:tcPr>
            <w:tcBorders>
              <w:top w:val="single" w:color="000000" w:sz="4" w:space="0"/>
            </w:tcBorders>
            <w:tcW w:w="4252" w:type="dxa"/>
            <w:textDirection w:val="lrTb"/>
            <w:noWrap w:val="false"/>
          </w:tcPr>
          <w:p>
            <w:pPr>
              <w:ind w:left="0" w:firstLine="0"/>
              <w:jc w:val="center"/>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(фамилия, инициалы)</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tc>
      </w:tr>
      <w:tr>
        <w:tblPrEx/>
        <w:trPr>
          <w:jc w:val="left"/>
        </w:trPr>
        <w:tc>
          <w:tcPr>
            <w:gridSpan w:val="4"/>
            <w:tcW w:w="9132" w:type="dxa"/>
            <w:textDirection w:val="lrTb"/>
            <w:noWrap w:val="false"/>
          </w:tcPr>
          <w:p>
            <w:pPr>
              <w:ind w:left="0" w:firstLine="0"/>
              <w:jc w:val="left"/>
              <w:spacing w:before="0" w:after="0" w:line="240" w:lineRule="auto"/>
              <w:rPr>
                <w:rFonts w:ascii="Times New Roman" w:hAnsi="Times New Roman" w:cs="Times New Roman"/>
                <w:b w:val="0"/>
                <w:i w:val="0"/>
                <w:strike w:val="0"/>
                <w:sz w:val="16"/>
              </w:rPr>
            </w:pPr>
            <w:r>
              <w:rPr>
                <w:rFonts w:ascii="Times New Roman" w:hAnsi="Times New Roman" w:eastAsia="Times New Roman" w:cs="Times New Roman"/>
                <w:b w:val="0"/>
                <w:i w:val="0"/>
                <w:strike w:val="0"/>
                <w:sz w:val="24"/>
                <w:szCs w:val="24"/>
                <w:lang w:val="ru-RU"/>
              </w:rPr>
              <w:t xml:space="preserve">«__» __________ 20__ года</w:t>
            </w:r>
            <w:r>
              <w:rPr>
                <w:rFonts w:ascii="Times New Roman" w:hAnsi="Times New Roman" w:eastAsia="Times New Roman" w:cs="Times New Roman"/>
                <w:b w:val="0"/>
                <w:i w:val="0"/>
                <w:strike w:val="0"/>
                <w:sz w:val="24"/>
                <w:szCs w:val="24"/>
              </w:rPr>
            </w:r>
            <w:r>
              <w:rPr>
                <w:rFonts w:ascii="Times New Roman" w:hAnsi="Times New Roman" w:eastAsia="Times New Roman" w:cs="Times New Roman"/>
                <w:b w:val="0"/>
                <w:i w:val="0"/>
                <w:strike w:val="0"/>
                <w:sz w:val="24"/>
                <w:szCs w:val="24"/>
              </w:rPr>
            </w:r>
          </w:p>
          <w:p>
            <w:pPr>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p>
        </w:tc>
      </w:tr>
    </w:tbl>
    <w:p>
      <w:pPr>
        <w:ind w:firstLine="709"/>
        <w:jc w:val="both"/>
        <w:rPr>
          <w:sz w:val="27"/>
          <w:szCs w:val="27"/>
        </w:rPr>
      </w:pPr>
      <w:r>
        <w:rPr>
          <w:sz w:val="27"/>
          <w:szCs w:val="27"/>
        </w:rPr>
        <w:t xml:space="preserve">                            </w:t>
        <w:tab/>
        <w:tab/>
        <w:tab/>
        <w:tab/>
        <w:tab/>
        <w:tab/>
        <w:tab/>
        <w:tab/>
        <w:tab/>
        <w:tab/>
        <w:t xml:space="preserve">».</w:t>
      </w:r>
      <w:r>
        <w:rPr>
          <w:sz w:val="27"/>
          <w:szCs w:val="27"/>
        </w:rPr>
      </w:r>
      <w:r/>
    </w:p>
    <w:p>
      <w:pPr>
        <w:rPr>
          <w:sz w:val="27"/>
          <w:szCs w:val="27"/>
        </w:rPr>
      </w:pPr>
      <w:r>
        <w:rPr>
          <w:sz w:val="27"/>
          <w:szCs w:val="27"/>
        </w:rPr>
      </w:r>
      <w:r>
        <w:rPr>
          <w:sz w:val="27"/>
          <w:szCs w:val="27"/>
        </w:rPr>
      </w:r>
    </w:p>
    <w:p>
      <w:pPr>
        <w:pStyle w:val="869"/>
        <w:rPr>
          <w:sz w:val="27"/>
          <w:szCs w:val="27"/>
        </w:rPr>
      </w:pPr>
      <w:r>
        <w:rPr>
          <w:sz w:val="27"/>
          <w:szCs w:val="27"/>
        </w:rPr>
      </w:r>
      <w:r>
        <w:rPr>
          <w:sz w:val="27"/>
          <w:szCs w:val="27"/>
        </w:rPr>
      </w:r>
      <w:r>
        <w:rPr>
          <w:sz w:val="27"/>
          <w:szCs w:val="27"/>
        </w:rPr>
      </w:r>
    </w:p>
    <w:p>
      <w:pPr>
        <w:pStyle w:val="869"/>
        <w:rPr>
          <w:sz w:val="27"/>
          <w:szCs w:val="27"/>
        </w:rPr>
      </w:pPr>
      <w:r>
        <w:rPr>
          <w:sz w:val="27"/>
          <w:szCs w:val="27"/>
        </w:rPr>
      </w:r>
      <w:r>
        <w:rPr>
          <w:sz w:val="27"/>
          <w:szCs w:val="27"/>
        </w:rPr>
      </w:r>
      <w:r>
        <w:rPr>
          <w:sz w:val="27"/>
          <w:szCs w:val="27"/>
        </w:rPr>
      </w:r>
    </w:p>
    <w:p>
      <w:pPr>
        <w:pStyle w:val="869"/>
        <w:rPr>
          <w:sz w:val="27"/>
          <w:szCs w:val="27"/>
        </w:rPr>
      </w:pPr>
      <w:r>
        <w:rPr>
          <w:sz w:val="27"/>
          <w:szCs w:val="27"/>
        </w:rPr>
        <w:t xml:space="preserve">П</w:t>
      </w:r>
      <w:r>
        <w:rPr>
          <w:sz w:val="27"/>
          <w:szCs w:val="27"/>
        </w:rPr>
        <w:t xml:space="preserve">редседатель</w:t>
      </w:r>
      <w:r>
        <w:rPr>
          <w:sz w:val="27"/>
          <w:szCs w:val="27"/>
        </w:rPr>
        <w:t xml:space="preserve"> К</w:t>
      </w:r>
      <w:r>
        <w:rPr>
          <w:sz w:val="27"/>
          <w:szCs w:val="27"/>
        </w:rPr>
        <w:t xml:space="preserve">омитета                                                  </w:t>
      </w:r>
      <w:r>
        <w:rPr>
          <w:sz w:val="27"/>
          <w:szCs w:val="27"/>
        </w:rPr>
        <w:t xml:space="preserve">         </w:t>
      </w:r>
      <w:r>
        <w:rPr>
          <w:sz w:val="27"/>
          <w:szCs w:val="27"/>
        </w:rPr>
        <w:t xml:space="preserve"> </w:t>
      </w:r>
      <w:r>
        <w:rPr>
          <w:sz w:val="27"/>
          <w:szCs w:val="27"/>
        </w:rPr>
        <w:t xml:space="preserve">        </w:t>
      </w:r>
      <w:r>
        <w:rPr>
          <w:sz w:val="27"/>
          <w:szCs w:val="27"/>
        </w:rPr>
        <w:t xml:space="preserve"> </w:t>
      </w:r>
      <w:r>
        <w:rPr>
          <w:sz w:val="27"/>
          <w:szCs w:val="27"/>
        </w:rPr>
        <w:t xml:space="preserve">         </w:t>
      </w:r>
      <w:r>
        <w:rPr>
          <w:sz w:val="27"/>
          <w:szCs w:val="27"/>
        </w:rPr>
        <w:t xml:space="preserve">  </w:t>
      </w:r>
      <w:r>
        <w:rPr>
          <w:sz w:val="27"/>
          <w:szCs w:val="27"/>
        </w:rPr>
        <w:t xml:space="preserve">    </w:t>
      </w:r>
      <w:r>
        <w:rPr>
          <w:sz w:val="27"/>
          <w:szCs w:val="27"/>
        </w:rPr>
        <w:t xml:space="preserve">     </w:t>
      </w:r>
      <w:r>
        <w:rPr>
          <w:sz w:val="27"/>
          <w:szCs w:val="27"/>
        </w:rPr>
        <w:t xml:space="preserve"> Р.Э. Агаева</w:t>
      </w:r>
      <w:r>
        <w:rPr>
          <w:sz w:val="27"/>
          <w:szCs w:val="27"/>
        </w:rPr>
      </w:r>
    </w:p>
    <w:sectPr>
      <w:footnotePr/>
      <w:endnotePr/>
      <w:type w:val="nextPage"/>
      <w:pgSz w:w="11907" w:h="16840" w:orient="portrait"/>
      <w:pgMar w:top="1134" w:right="567" w:bottom="568"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ymbol">
    <w:panose1 w:val="05010000000000000000"/>
  </w:font>
  <w:font w:name="Cambria">
    <w:panose1 w:val="02040803050406030204"/>
  </w:font>
  <w:font w:name="Georgia">
    <w:panose1 w:val="02040502050405020303"/>
  </w:font>
  <w:font w:name="Calibri">
    <w:panose1 w:val="020F0502020204030204"/>
  </w:font>
  <w:font w:name="Tahoma">
    <w:panose1 w:val="020B0604030504040204"/>
  </w:font>
  <w:font w:name="Courier New">
    <w:panose1 w:val="02070309020205020404"/>
  </w:font>
  <w:font w:name="Wingdings">
    <w:panose1 w:val="05010000000000000000"/>
  </w:font>
  <w:font w:name="Liberation Sans">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9" w:hanging="36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1819" w:hanging="111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4">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5">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6">
    <w:multiLevelType w:val="hybridMultilevel"/>
    <w:lvl w:ilvl="0">
      <w:start w:val="1"/>
      <w:numFmt w:val="bullet"/>
      <w:isLgl w:val="false"/>
      <w:suff w:val="tab"/>
      <w:lvlText w:val=""/>
      <w:lvlJc w:val="left"/>
      <w:pPr>
        <w:ind w:left="1335" w:hanging="360"/>
        <w:tabs>
          <w:tab w:val="num" w:pos="1335" w:leader="none"/>
        </w:tabs>
      </w:pPr>
      <w:rPr>
        <w:rFonts w:ascii="Symbol" w:hAnsi="Symbol"/>
      </w:rPr>
    </w:lvl>
    <w:lvl w:ilvl="1">
      <w:start w:val="1"/>
      <w:numFmt w:val="bullet"/>
      <w:isLgl w:val="false"/>
      <w:suff w:val="tab"/>
      <w:lvlText w:val="o"/>
      <w:lvlJc w:val="left"/>
      <w:pPr>
        <w:ind w:left="2055" w:hanging="360"/>
        <w:tabs>
          <w:tab w:val="num" w:pos="2055" w:leader="none"/>
        </w:tabs>
      </w:pPr>
      <w:rPr>
        <w:rFonts w:ascii="Courier New" w:hAnsi="Courier New" w:cs="Courier New"/>
      </w:rPr>
    </w:lvl>
    <w:lvl w:ilvl="2">
      <w:start w:val="1"/>
      <w:numFmt w:val="bullet"/>
      <w:isLgl w:val="false"/>
      <w:suff w:val="tab"/>
      <w:lvlText w:val=""/>
      <w:lvlJc w:val="left"/>
      <w:pPr>
        <w:ind w:left="2775" w:hanging="360"/>
        <w:tabs>
          <w:tab w:val="num" w:pos="2775" w:leader="none"/>
        </w:tabs>
      </w:pPr>
      <w:rPr>
        <w:rFonts w:ascii="Wingdings" w:hAnsi="Wingdings"/>
      </w:rPr>
    </w:lvl>
    <w:lvl w:ilvl="3">
      <w:start w:val="1"/>
      <w:numFmt w:val="bullet"/>
      <w:isLgl w:val="false"/>
      <w:suff w:val="tab"/>
      <w:lvlText w:val=""/>
      <w:lvlJc w:val="left"/>
      <w:pPr>
        <w:ind w:left="3495" w:hanging="360"/>
        <w:tabs>
          <w:tab w:val="num" w:pos="3495" w:leader="none"/>
        </w:tabs>
      </w:pPr>
      <w:rPr>
        <w:rFonts w:ascii="Symbol" w:hAnsi="Symbol"/>
      </w:rPr>
    </w:lvl>
    <w:lvl w:ilvl="4">
      <w:start w:val="1"/>
      <w:numFmt w:val="bullet"/>
      <w:isLgl w:val="false"/>
      <w:suff w:val="tab"/>
      <w:lvlText w:val="o"/>
      <w:lvlJc w:val="left"/>
      <w:pPr>
        <w:ind w:left="4215" w:hanging="360"/>
        <w:tabs>
          <w:tab w:val="num" w:pos="4215" w:leader="none"/>
        </w:tabs>
      </w:pPr>
      <w:rPr>
        <w:rFonts w:ascii="Courier New" w:hAnsi="Courier New" w:cs="Courier New"/>
      </w:rPr>
    </w:lvl>
    <w:lvl w:ilvl="5">
      <w:start w:val="1"/>
      <w:numFmt w:val="bullet"/>
      <w:isLgl w:val="false"/>
      <w:suff w:val="tab"/>
      <w:lvlText w:val=""/>
      <w:lvlJc w:val="left"/>
      <w:pPr>
        <w:ind w:left="4935" w:hanging="360"/>
        <w:tabs>
          <w:tab w:val="num" w:pos="4935" w:leader="none"/>
        </w:tabs>
      </w:pPr>
      <w:rPr>
        <w:rFonts w:ascii="Wingdings" w:hAnsi="Wingdings"/>
      </w:rPr>
    </w:lvl>
    <w:lvl w:ilvl="6">
      <w:start w:val="1"/>
      <w:numFmt w:val="bullet"/>
      <w:isLgl w:val="false"/>
      <w:suff w:val="tab"/>
      <w:lvlText w:val=""/>
      <w:lvlJc w:val="left"/>
      <w:pPr>
        <w:ind w:left="5655" w:hanging="360"/>
        <w:tabs>
          <w:tab w:val="num" w:pos="5655" w:leader="none"/>
        </w:tabs>
      </w:pPr>
      <w:rPr>
        <w:rFonts w:ascii="Symbol" w:hAnsi="Symbol"/>
      </w:rPr>
    </w:lvl>
    <w:lvl w:ilvl="7">
      <w:start w:val="1"/>
      <w:numFmt w:val="bullet"/>
      <w:isLgl w:val="false"/>
      <w:suff w:val="tab"/>
      <w:lvlText w:val="o"/>
      <w:lvlJc w:val="left"/>
      <w:pPr>
        <w:ind w:left="6375" w:hanging="360"/>
        <w:tabs>
          <w:tab w:val="num" w:pos="6375" w:leader="none"/>
        </w:tabs>
      </w:pPr>
      <w:rPr>
        <w:rFonts w:ascii="Courier New" w:hAnsi="Courier New" w:cs="Courier New"/>
      </w:rPr>
    </w:lvl>
    <w:lvl w:ilvl="8">
      <w:start w:val="1"/>
      <w:numFmt w:val="bullet"/>
      <w:isLgl w:val="false"/>
      <w:suff w:val="tab"/>
      <w:lvlText w:val=""/>
      <w:lvlJc w:val="left"/>
      <w:pPr>
        <w:ind w:left="7095" w:hanging="360"/>
        <w:tabs>
          <w:tab w:val="num" w:pos="7095"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720" w:hanging="360"/>
      </w:pPr>
    </w:lvl>
    <w:lvl w:ilvl="1">
      <w:start w:val="1"/>
      <w:numFmt w:val="decimal"/>
      <w:isLgl w:val="false"/>
      <w:suff w:val="tab"/>
      <w:lvlText w:val="%1.%2."/>
      <w:lvlJc w:val="left"/>
      <w:pPr>
        <w:ind w:left="1440" w:hanging="720"/>
      </w:pPr>
    </w:lvl>
    <w:lvl w:ilvl="2">
      <w:start w:val="1"/>
      <w:numFmt w:val="decimal"/>
      <w:isLgl w:val="false"/>
      <w:suff w:val="tab"/>
      <w:lvlText w:val="%1.%2.%3."/>
      <w:lvlJc w:val="left"/>
      <w:pPr>
        <w:ind w:left="1800" w:hanging="720"/>
      </w:pPr>
    </w:lvl>
    <w:lvl w:ilvl="3">
      <w:start w:val="1"/>
      <w:numFmt w:val="decimal"/>
      <w:isLgl w:val="false"/>
      <w:suff w:val="tab"/>
      <w:lvlText w:val="%1.%2.%3.%4."/>
      <w:lvlJc w:val="left"/>
      <w:pPr>
        <w:ind w:left="2520" w:hanging="1080"/>
      </w:pPr>
    </w:lvl>
    <w:lvl w:ilvl="4">
      <w:start w:val="1"/>
      <w:numFmt w:val="decimal"/>
      <w:isLgl w:val="false"/>
      <w:suff w:val="tab"/>
      <w:lvlText w:val="%1.%2.%3.%4.%5."/>
      <w:lvlJc w:val="left"/>
      <w:pPr>
        <w:ind w:left="2880" w:hanging="1080"/>
      </w:pPr>
    </w:lvl>
    <w:lvl w:ilvl="5">
      <w:start w:val="1"/>
      <w:numFmt w:val="decimal"/>
      <w:isLgl w:val="false"/>
      <w:suff w:val="tab"/>
      <w:lvlText w:val="%1.%2.%3.%4.%5.%6."/>
      <w:lvlJc w:val="left"/>
      <w:pPr>
        <w:ind w:left="3600" w:hanging="1440"/>
      </w:pPr>
    </w:lvl>
    <w:lvl w:ilvl="6">
      <w:start w:val="1"/>
      <w:numFmt w:val="decimal"/>
      <w:isLgl w:val="false"/>
      <w:suff w:val="tab"/>
      <w:lvlText w:val="%1.%2.%3.%4.%5.%6.%7."/>
      <w:lvlJc w:val="left"/>
      <w:pPr>
        <w:ind w:left="4320" w:hanging="1800"/>
      </w:pPr>
    </w:lvl>
    <w:lvl w:ilvl="7">
      <w:start w:val="1"/>
      <w:numFmt w:val="decimal"/>
      <w:isLgl w:val="false"/>
      <w:suff w:val="tab"/>
      <w:lvlText w:val="%1.%2.%3.%4.%5.%6.%7.%8."/>
      <w:lvlJc w:val="left"/>
      <w:pPr>
        <w:ind w:left="4680" w:hanging="1800"/>
      </w:pPr>
    </w:lvl>
    <w:lvl w:ilvl="8">
      <w:start w:val="1"/>
      <w:numFmt w:val="decimal"/>
      <w:isLgl w:val="false"/>
      <w:suff w:val="tab"/>
      <w:lvlText w:val="%1.%2.%3.%4.%5.%6.%7.%8.%9."/>
      <w:lvlJc w:val="left"/>
      <w:pPr>
        <w:ind w:left="5400" w:hanging="2160"/>
      </w:pPr>
    </w:lvl>
  </w:abstractNum>
  <w:abstractNum w:abstractNumId="8">
    <w:multiLevelType w:val="hybridMultilevel"/>
    <w:lvl w:ilvl="0">
      <w:start w:val="1"/>
      <w:numFmt w:val="decimal"/>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abstractNum w:abstractNumId="9">
    <w:multiLevelType w:val="hybridMultilevel"/>
    <w:lvl w:ilvl="0">
      <w:start w:val="1"/>
      <w:numFmt w:val="bullet"/>
      <w:isLgl w:val="false"/>
      <w:suff w:val="tab"/>
      <w:lvlText w:val=""/>
      <w:lvlJc w:val="left"/>
      <w:pPr>
        <w:ind w:left="720" w:hanging="360"/>
        <w:tabs>
          <w:tab w:val="num" w:pos="720" w:leader="none"/>
        </w:tabs>
      </w:pPr>
      <w:rPr>
        <w:rFonts w:ascii="Symbol" w:hAnsi="Symbol"/>
      </w:rPr>
    </w:lvl>
    <w:lvl w:ilvl="1">
      <w:start w:val="1"/>
      <w:numFmt w:val="bullet"/>
      <w:isLgl w:val="false"/>
      <w:suff w:val="tab"/>
      <w:lvlText w:val="o"/>
      <w:lvlJc w:val="left"/>
      <w:pPr>
        <w:ind w:left="1440" w:hanging="360"/>
        <w:tabs>
          <w:tab w:val="num" w:pos="1440" w:leader="none"/>
        </w:tabs>
      </w:pPr>
      <w:rPr>
        <w:rFonts w:ascii="Courier New" w:hAnsi="Courier New" w:cs="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cs="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cs="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10">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2">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3">
    <w:multiLevelType w:val="hybridMultilevel"/>
    <w:lvl w:ilvl="0">
      <w:start w:val="1"/>
      <w:numFmt w:val="decimal"/>
      <w:isLgl w:val="false"/>
      <w:suff w:val="tab"/>
      <w:lvlText w:val="%1."/>
      <w:lvlJc w:val="left"/>
      <w:pPr>
        <w:ind w:left="1699" w:hanging="990"/>
      </w:pPr>
      <w:rPr>
        <w:rFonts w:ascii="Times New Roman" w:hAnsi="Times New Roman" w:eastAsia="Times New Roman" w:cs="Times New Roman"/>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4">
    <w:multiLevelType w:val="hybridMultilevel"/>
    <w:lvl w:ilvl="0">
      <w:start w:val="1"/>
      <w:numFmt w:val="bullet"/>
      <w:isLgl w:val="false"/>
      <w:suff w:val="tab"/>
      <w:lvlText w:val=""/>
      <w:lvlJc w:val="left"/>
      <w:pPr>
        <w:ind w:left="1260" w:hanging="360"/>
        <w:tabs>
          <w:tab w:val="num" w:pos="1260" w:leader="none"/>
        </w:tabs>
      </w:pPr>
      <w:rPr>
        <w:rFonts w:ascii="Symbol" w:hAnsi="Symbol"/>
      </w:rPr>
    </w:lvl>
    <w:lvl w:ilvl="1">
      <w:start w:val="1"/>
      <w:numFmt w:val="bullet"/>
      <w:isLgl w:val="false"/>
      <w:suff w:val="tab"/>
      <w:lvlText w:val="o"/>
      <w:lvlJc w:val="left"/>
      <w:pPr>
        <w:ind w:left="1980" w:hanging="360"/>
        <w:tabs>
          <w:tab w:val="num" w:pos="1980" w:leader="none"/>
        </w:tabs>
      </w:pPr>
      <w:rPr>
        <w:rFonts w:ascii="Courier New" w:hAnsi="Courier New" w:cs="Courier New"/>
      </w:rPr>
    </w:lvl>
    <w:lvl w:ilvl="2">
      <w:start w:val="1"/>
      <w:numFmt w:val="bullet"/>
      <w:isLgl w:val="false"/>
      <w:suff w:val="tab"/>
      <w:lvlText w:val=""/>
      <w:lvlJc w:val="left"/>
      <w:pPr>
        <w:ind w:left="2700" w:hanging="360"/>
        <w:tabs>
          <w:tab w:val="num" w:pos="2700" w:leader="none"/>
        </w:tabs>
      </w:pPr>
      <w:rPr>
        <w:rFonts w:ascii="Wingdings" w:hAnsi="Wingdings"/>
      </w:rPr>
    </w:lvl>
    <w:lvl w:ilvl="3">
      <w:start w:val="1"/>
      <w:numFmt w:val="bullet"/>
      <w:isLgl w:val="false"/>
      <w:suff w:val="tab"/>
      <w:lvlText w:val=""/>
      <w:lvlJc w:val="left"/>
      <w:pPr>
        <w:ind w:left="3420" w:hanging="360"/>
        <w:tabs>
          <w:tab w:val="num" w:pos="3420" w:leader="none"/>
        </w:tabs>
      </w:pPr>
      <w:rPr>
        <w:rFonts w:ascii="Symbol" w:hAnsi="Symbol"/>
      </w:rPr>
    </w:lvl>
    <w:lvl w:ilvl="4">
      <w:start w:val="1"/>
      <w:numFmt w:val="bullet"/>
      <w:isLgl w:val="false"/>
      <w:suff w:val="tab"/>
      <w:lvlText w:val="o"/>
      <w:lvlJc w:val="left"/>
      <w:pPr>
        <w:ind w:left="4140" w:hanging="360"/>
        <w:tabs>
          <w:tab w:val="num" w:pos="4140" w:leader="none"/>
        </w:tabs>
      </w:pPr>
      <w:rPr>
        <w:rFonts w:ascii="Courier New" w:hAnsi="Courier New" w:cs="Courier New"/>
      </w:rPr>
    </w:lvl>
    <w:lvl w:ilvl="5">
      <w:start w:val="1"/>
      <w:numFmt w:val="bullet"/>
      <w:isLgl w:val="false"/>
      <w:suff w:val="tab"/>
      <w:lvlText w:val=""/>
      <w:lvlJc w:val="left"/>
      <w:pPr>
        <w:ind w:left="4860" w:hanging="360"/>
        <w:tabs>
          <w:tab w:val="num" w:pos="4860" w:leader="none"/>
        </w:tabs>
      </w:pPr>
      <w:rPr>
        <w:rFonts w:ascii="Wingdings" w:hAnsi="Wingdings"/>
      </w:rPr>
    </w:lvl>
    <w:lvl w:ilvl="6">
      <w:start w:val="1"/>
      <w:numFmt w:val="bullet"/>
      <w:isLgl w:val="false"/>
      <w:suff w:val="tab"/>
      <w:lvlText w:val=""/>
      <w:lvlJc w:val="left"/>
      <w:pPr>
        <w:ind w:left="5580" w:hanging="360"/>
        <w:tabs>
          <w:tab w:val="num" w:pos="5580" w:leader="none"/>
        </w:tabs>
      </w:pPr>
      <w:rPr>
        <w:rFonts w:ascii="Symbol" w:hAnsi="Symbol"/>
      </w:rPr>
    </w:lvl>
    <w:lvl w:ilvl="7">
      <w:start w:val="1"/>
      <w:numFmt w:val="bullet"/>
      <w:isLgl w:val="false"/>
      <w:suff w:val="tab"/>
      <w:lvlText w:val="o"/>
      <w:lvlJc w:val="left"/>
      <w:pPr>
        <w:ind w:left="6300" w:hanging="360"/>
        <w:tabs>
          <w:tab w:val="num" w:pos="6300" w:leader="none"/>
        </w:tabs>
      </w:pPr>
      <w:rPr>
        <w:rFonts w:ascii="Courier New" w:hAnsi="Courier New" w:cs="Courier New"/>
      </w:rPr>
    </w:lvl>
    <w:lvl w:ilvl="8">
      <w:start w:val="1"/>
      <w:numFmt w:val="bullet"/>
      <w:isLgl w:val="false"/>
      <w:suff w:val="tab"/>
      <w:lvlText w:val=""/>
      <w:lvlJc w:val="left"/>
      <w:pPr>
        <w:ind w:left="7020" w:hanging="360"/>
        <w:tabs>
          <w:tab w:val="num" w:pos="7020" w:leader="none"/>
        </w:tabs>
      </w:pPr>
      <w:rPr>
        <w:rFonts w:ascii="Wingdings" w:hAnsi="Wingdings"/>
      </w:r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6">
    <w:multiLevelType w:val="hybridMultilevel"/>
    <w:lvl w:ilvl="0">
      <w:start w:val="1"/>
      <w:numFmt w:val="decimal"/>
      <w:isLgl w:val="false"/>
      <w:suff w:val="tab"/>
      <w:lvlText w:val="%1."/>
      <w:lvlJc w:val="left"/>
      <w:pPr>
        <w:ind w:left="1535" w:hanging="825"/>
      </w:pPr>
      <w:rPr>
        <w:rFonts w:ascii="Times New Roman" w:hAnsi="Times New Roman" w:eastAsia="Calibri" w:cs="Times New Roman"/>
        <w:sz w:val="28"/>
        <w:szCs w:val="28"/>
      </w:rPr>
    </w:lvl>
    <w:lvl w:ilvl="1">
      <w:start w:val="1"/>
      <w:numFmt w:val="lowerLetter"/>
      <w:isLgl w:val="false"/>
      <w:suff w:val="tab"/>
      <w:lvlText w:val="%2."/>
      <w:lvlJc w:val="left"/>
      <w:pPr>
        <w:ind w:left="1763" w:hanging="360"/>
      </w:pPr>
    </w:lvl>
    <w:lvl w:ilvl="2">
      <w:start w:val="1"/>
      <w:numFmt w:val="lowerRoman"/>
      <w:isLgl w:val="false"/>
      <w:suff w:val="tab"/>
      <w:lvlText w:val="%3."/>
      <w:lvlJc w:val="right"/>
      <w:pPr>
        <w:ind w:left="2483" w:hanging="180"/>
      </w:pPr>
    </w:lvl>
    <w:lvl w:ilvl="3">
      <w:start w:val="1"/>
      <w:numFmt w:val="decimal"/>
      <w:isLgl w:val="false"/>
      <w:suff w:val="tab"/>
      <w:lvlText w:val="%4."/>
      <w:lvlJc w:val="left"/>
      <w:pPr>
        <w:ind w:left="3203" w:hanging="360"/>
      </w:pPr>
    </w:lvl>
    <w:lvl w:ilvl="4">
      <w:start w:val="1"/>
      <w:numFmt w:val="lowerLetter"/>
      <w:isLgl w:val="false"/>
      <w:suff w:val="tab"/>
      <w:lvlText w:val="%5."/>
      <w:lvlJc w:val="left"/>
      <w:pPr>
        <w:ind w:left="3923" w:hanging="360"/>
      </w:pPr>
    </w:lvl>
    <w:lvl w:ilvl="5">
      <w:start w:val="1"/>
      <w:numFmt w:val="lowerRoman"/>
      <w:isLgl w:val="false"/>
      <w:suff w:val="tab"/>
      <w:lvlText w:val="%6."/>
      <w:lvlJc w:val="right"/>
      <w:pPr>
        <w:ind w:left="4643" w:hanging="180"/>
      </w:pPr>
    </w:lvl>
    <w:lvl w:ilvl="6">
      <w:start w:val="1"/>
      <w:numFmt w:val="decimal"/>
      <w:isLgl w:val="false"/>
      <w:suff w:val="tab"/>
      <w:lvlText w:val="%7."/>
      <w:lvlJc w:val="left"/>
      <w:pPr>
        <w:ind w:left="5363" w:hanging="360"/>
      </w:pPr>
    </w:lvl>
    <w:lvl w:ilvl="7">
      <w:start w:val="1"/>
      <w:numFmt w:val="lowerLetter"/>
      <w:isLgl w:val="false"/>
      <w:suff w:val="tab"/>
      <w:lvlText w:val="%8."/>
      <w:lvlJc w:val="left"/>
      <w:pPr>
        <w:ind w:left="6083" w:hanging="360"/>
      </w:pPr>
    </w:lvl>
    <w:lvl w:ilvl="8">
      <w:start w:val="1"/>
      <w:numFmt w:val="lowerRoman"/>
      <w:isLgl w:val="false"/>
      <w:suff w:val="tab"/>
      <w:lvlText w:val="%9."/>
      <w:lvlJc w:val="right"/>
      <w:pPr>
        <w:ind w:left="6803" w:hanging="180"/>
      </w:pPr>
    </w:lvl>
  </w:abstractNum>
  <w:abstractNum w:abstractNumId="17">
    <w:multiLevelType w:val="hybridMultilevel"/>
    <w:lvl w:ilvl="0">
      <w:start w:val="1"/>
      <w:numFmt w:val="decimal"/>
      <w:isLgl w:val="false"/>
      <w:suff w:val="tab"/>
      <w:lvlText w:val="%1."/>
      <w:lvlJc w:val="left"/>
      <w:pPr>
        <w:ind w:left="1429" w:hanging="360"/>
      </w:pPr>
    </w:lvl>
    <w:lvl w:ilvl="1">
      <w:start w:val="1"/>
      <w:numFmt w:val="lowerLetter"/>
      <w:isLgl w:val="false"/>
      <w:suff w:val="tab"/>
      <w:lvlText w:val="%2."/>
      <w:lvlJc w:val="left"/>
      <w:pPr>
        <w:ind w:left="2149" w:hanging="360"/>
      </w:pPr>
    </w:lvl>
    <w:lvl w:ilvl="2">
      <w:start w:val="1"/>
      <w:numFmt w:val="lowerRoman"/>
      <w:isLgl w:val="false"/>
      <w:suff w:val="tab"/>
      <w:lvlText w:val="%3."/>
      <w:lvlJc w:val="right"/>
      <w:pPr>
        <w:ind w:left="2869" w:hanging="180"/>
      </w:pPr>
    </w:lvl>
    <w:lvl w:ilvl="3">
      <w:start w:val="1"/>
      <w:numFmt w:val="decimal"/>
      <w:isLgl w:val="false"/>
      <w:suff w:val="tab"/>
      <w:lvlText w:val="%4."/>
      <w:lvlJc w:val="left"/>
      <w:pPr>
        <w:ind w:left="3589" w:hanging="360"/>
      </w:pPr>
    </w:lvl>
    <w:lvl w:ilvl="4">
      <w:start w:val="1"/>
      <w:numFmt w:val="lowerLetter"/>
      <w:isLgl w:val="false"/>
      <w:suff w:val="tab"/>
      <w:lvlText w:val="%5."/>
      <w:lvlJc w:val="left"/>
      <w:pPr>
        <w:ind w:left="4309" w:hanging="360"/>
      </w:pPr>
    </w:lvl>
    <w:lvl w:ilvl="5">
      <w:start w:val="1"/>
      <w:numFmt w:val="lowerRoman"/>
      <w:isLgl w:val="false"/>
      <w:suff w:val="tab"/>
      <w:lvlText w:val="%6."/>
      <w:lvlJc w:val="right"/>
      <w:pPr>
        <w:ind w:left="5029" w:hanging="180"/>
      </w:pPr>
    </w:lvl>
    <w:lvl w:ilvl="6">
      <w:start w:val="1"/>
      <w:numFmt w:val="decimal"/>
      <w:isLgl w:val="false"/>
      <w:suff w:val="tab"/>
      <w:lvlText w:val="%7."/>
      <w:lvlJc w:val="left"/>
      <w:pPr>
        <w:ind w:left="5749" w:hanging="360"/>
      </w:pPr>
    </w:lvl>
    <w:lvl w:ilvl="7">
      <w:start w:val="1"/>
      <w:numFmt w:val="lowerLetter"/>
      <w:isLgl w:val="false"/>
      <w:suff w:val="tab"/>
      <w:lvlText w:val="%8."/>
      <w:lvlJc w:val="left"/>
      <w:pPr>
        <w:ind w:left="6469" w:hanging="360"/>
      </w:pPr>
    </w:lvl>
    <w:lvl w:ilvl="8">
      <w:start w:val="1"/>
      <w:numFmt w:val="lowerRoman"/>
      <w:isLgl w:val="false"/>
      <w:suff w:val="tab"/>
      <w:lvlText w:val="%9."/>
      <w:lvlJc w:val="right"/>
      <w:pPr>
        <w:ind w:left="7189" w:hanging="180"/>
      </w:pPr>
    </w:lvl>
  </w:abstractNum>
  <w:num w:numId="1">
    <w:abstractNumId w:val="9"/>
  </w:num>
  <w:num w:numId="2">
    <w:abstractNumId w:val="14"/>
  </w:num>
  <w:num w:numId="3">
    <w:abstractNumId w:val="6"/>
  </w:num>
  <w:num w:numId="4">
    <w:abstractNumId w:val="1"/>
  </w:num>
  <w:num w:numId="5">
    <w:abstractNumId w:val="4"/>
  </w:num>
  <w:num w:numId="6">
    <w:abstractNumId w:val="2"/>
  </w:num>
  <w:num w:numId="7">
    <w:abstractNumId w:val="5"/>
  </w:num>
  <w:num w:numId="8">
    <w:abstractNumId w:val="10"/>
  </w:num>
  <w:num w:numId="9">
    <w:abstractNumId w:val="15"/>
  </w:num>
  <w:num w:numId="10">
    <w:abstractNumId w:val="13"/>
  </w:num>
  <w:num w:numId="11">
    <w:abstractNumId w:val="7"/>
  </w:num>
  <w:num w:numId="12">
    <w:abstractNumId w:val="3"/>
  </w:num>
  <w:num w:numId="13">
    <w:abstractNumId w:val="8"/>
  </w:num>
  <w:num w:numId="14">
    <w:abstractNumId w:val="16"/>
  </w:num>
  <w:num w:numId="15">
    <w:abstractNumId w:val="11"/>
  </w:num>
  <w:num w:numId="16">
    <w:abstractNumId w:val="17"/>
  </w:num>
  <w:num w:numId="17">
    <w:abstractNumId w:val="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Liberation Sans" w:hAnsi="Liberation Sans" w:eastAsia="Liberation Sans" w:cs="Liberation Sans"/>
      <w:sz w:val="40"/>
      <w:szCs w:val="40"/>
    </w:rPr>
  </w:style>
  <w:style w:type="character" w:styleId="692">
    <w:name w:val="Heading 1 Char"/>
    <w:link w:val="691"/>
    <w:uiPriority w:val="9"/>
    <w:rPr>
      <w:rFonts w:ascii="Liberation Sans" w:hAnsi="Liberation Sans" w:eastAsia="Liberation Sans" w:cs="Liberation Sans"/>
      <w:sz w:val="40"/>
      <w:szCs w:val="40"/>
    </w:rPr>
  </w:style>
  <w:style w:type="paragraph" w:styleId="693">
    <w:name w:val="Heading 2"/>
    <w:basedOn w:val="869"/>
    <w:next w:val="869"/>
    <w:link w:val="694"/>
    <w:uiPriority w:val="9"/>
    <w:unhideWhenUsed/>
    <w:qFormat/>
    <w:pPr>
      <w:keepLines/>
      <w:keepNext/>
      <w:spacing w:before="360" w:after="200"/>
      <w:outlineLvl w:val="1"/>
    </w:pPr>
    <w:rPr>
      <w:rFonts w:ascii="Liberation Sans" w:hAnsi="Liberation Sans" w:eastAsia="Liberation Sans" w:cs="Liberation Sans"/>
      <w:sz w:val="34"/>
    </w:rPr>
  </w:style>
  <w:style w:type="character" w:styleId="694">
    <w:name w:val="Heading 2 Char"/>
    <w:link w:val="693"/>
    <w:uiPriority w:val="9"/>
    <w:rPr>
      <w:rFonts w:ascii="Liberation Sans" w:hAnsi="Liberation Sans" w:eastAsia="Liberation Sans" w:cs="Liberation Sans"/>
      <w:sz w:val="34"/>
    </w:rPr>
  </w:style>
  <w:style w:type="paragraph" w:styleId="695">
    <w:name w:val="Heading 3"/>
    <w:basedOn w:val="869"/>
    <w:next w:val="869"/>
    <w:link w:val="696"/>
    <w:uiPriority w:val="9"/>
    <w:unhideWhenUsed/>
    <w:qFormat/>
    <w:pPr>
      <w:keepLines/>
      <w:keepNext/>
      <w:spacing w:before="320" w:after="200"/>
      <w:outlineLvl w:val="2"/>
    </w:pPr>
    <w:rPr>
      <w:rFonts w:ascii="Liberation Sans" w:hAnsi="Liberation Sans" w:eastAsia="Liberation Sans" w:cs="Liberation Sans"/>
      <w:sz w:val="30"/>
      <w:szCs w:val="30"/>
    </w:rPr>
  </w:style>
  <w:style w:type="character" w:styleId="696">
    <w:name w:val="Heading 3 Char"/>
    <w:link w:val="695"/>
    <w:uiPriority w:val="9"/>
    <w:rPr>
      <w:rFonts w:ascii="Liberation Sans" w:hAnsi="Liberation Sans" w:eastAsia="Liberation Sans" w:cs="Liberation Sans"/>
      <w:sz w:val="30"/>
      <w:szCs w:val="30"/>
    </w:rPr>
  </w:style>
  <w:style w:type="paragraph" w:styleId="697">
    <w:name w:val="Heading 4"/>
    <w:basedOn w:val="869"/>
    <w:next w:val="869"/>
    <w:link w:val="698"/>
    <w:uiPriority w:val="9"/>
    <w:unhideWhenUsed/>
    <w:qFormat/>
    <w:pPr>
      <w:keepLines/>
      <w:keepNext/>
      <w:spacing w:before="320" w:after="200"/>
      <w:outlineLvl w:val="3"/>
    </w:pPr>
    <w:rPr>
      <w:rFonts w:ascii="Liberation Sans" w:hAnsi="Liberation Sans" w:eastAsia="Liberation Sans" w:cs="Liberation Sans"/>
      <w:b/>
      <w:bCs/>
      <w:sz w:val="26"/>
      <w:szCs w:val="26"/>
    </w:rPr>
  </w:style>
  <w:style w:type="character" w:styleId="698">
    <w:name w:val="Heading 4 Char"/>
    <w:link w:val="697"/>
    <w:uiPriority w:val="9"/>
    <w:rPr>
      <w:rFonts w:ascii="Liberation Sans" w:hAnsi="Liberation Sans" w:eastAsia="Liberation Sans" w:cs="Liberation Sans"/>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Liberation Sans" w:hAnsi="Liberation Sans" w:eastAsia="Liberation Sans" w:cs="Liberation Sans"/>
      <w:b/>
      <w:bCs/>
      <w:sz w:val="24"/>
      <w:szCs w:val="24"/>
    </w:rPr>
  </w:style>
  <w:style w:type="character" w:styleId="700">
    <w:name w:val="Heading 5 Char"/>
    <w:link w:val="699"/>
    <w:uiPriority w:val="9"/>
    <w:rPr>
      <w:rFonts w:ascii="Liberation Sans" w:hAnsi="Liberation Sans" w:eastAsia="Liberation Sans" w:cs="Liberation Sans"/>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Liberation Sans" w:hAnsi="Liberation Sans" w:eastAsia="Liberation Sans" w:cs="Liberation Sans"/>
      <w:b/>
      <w:bCs/>
      <w:sz w:val="22"/>
      <w:szCs w:val="22"/>
    </w:rPr>
  </w:style>
  <w:style w:type="character" w:styleId="702">
    <w:name w:val="Heading 6 Char"/>
    <w:link w:val="701"/>
    <w:uiPriority w:val="9"/>
    <w:rPr>
      <w:rFonts w:ascii="Liberation Sans" w:hAnsi="Liberation Sans" w:eastAsia="Liberation Sans" w:cs="Liberation Sans"/>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Liberation Sans" w:hAnsi="Liberation Sans" w:eastAsia="Liberation Sans" w:cs="Liberation Sans"/>
      <w:b/>
      <w:bCs/>
      <w:i/>
      <w:iCs/>
      <w:sz w:val="22"/>
      <w:szCs w:val="22"/>
    </w:rPr>
  </w:style>
  <w:style w:type="character" w:styleId="704">
    <w:name w:val="Heading 7 Char"/>
    <w:link w:val="703"/>
    <w:uiPriority w:val="9"/>
    <w:rPr>
      <w:rFonts w:ascii="Liberation Sans" w:hAnsi="Liberation Sans" w:eastAsia="Liberation Sans" w:cs="Liberation Sans"/>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Liberation Sans" w:hAnsi="Liberation Sans" w:eastAsia="Liberation Sans" w:cs="Liberation Sans"/>
      <w:i/>
      <w:iCs/>
      <w:sz w:val="22"/>
      <w:szCs w:val="22"/>
    </w:rPr>
  </w:style>
  <w:style w:type="character" w:styleId="706">
    <w:name w:val="Heading 8 Char"/>
    <w:link w:val="705"/>
    <w:uiPriority w:val="9"/>
    <w:rPr>
      <w:rFonts w:ascii="Liberation Sans" w:hAnsi="Liberation Sans" w:eastAsia="Liberation Sans" w:cs="Liberation Sans"/>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Liberation Sans" w:hAnsi="Liberation Sans" w:eastAsia="Liberation Sans" w:cs="Liberation Sans"/>
      <w:i/>
      <w:iCs/>
      <w:sz w:val="21"/>
      <w:szCs w:val="21"/>
    </w:rPr>
  </w:style>
  <w:style w:type="character" w:styleId="708">
    <w:name w:val="Heading 9 Char"/>
    <w:link w:val="707"/>
    <w:uiPriority w:val="9"/>
    <w:rPr>
      <w:rFonts w:ascii="Liberation Sans" w:hAnsi="Liberation Sans" w:eastAsia="Liberation Sans" w:cs="Liberation Sans"/>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2"/>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link w:val="724"/>
    <w:uiPriority w:val="35"/>
    <w:semiHidden/>
    <w:unhideWhenUsed/>
    <w:qFormat/>
    <w:pPr>
      <w:spacing w:line="276" w:lineRule="auto"/>
    </w:pPr>
    <w:rPr>
      <w:b/>
      <w:bCs/>
      <w:color w:val="4f81bd" w:themeColor="accent1"/>
      <w:sz w:val="18"/>
      <w:szCs w:val="18"/>
    </w:rPr>
  </w:style>
  <w:style w:type="character" w:styleId="724">
    <w:name w:val="Caption Char"/>
    <w:link w:val="723"/>
    <w:uiPriority w:val="35"/>
    <w:rPr>
      <w:b/>
      <w:bCs/>
      <w:color w:val="4f81bd" w:themeColor="accent1"/>
      <w:sz w:val="18"/>
      <w:szCs w:val="18"/>
    </w:rPr>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Liberation Sans" w:hAnsi="Liberation Sans"/>
        <w:b/>
        <w:color w:val="404040"/>
        <w:sz w:val="22"/>
      </w:rPr>
    </w:tblStylePr>
    <w:tblStylePr w:type="firstRow">
      <w:rPr>
        <w:rFonts w:ascii="Liberation Sans" w:hAnsi="Liberation Sans"/>
        <w:b/>
        <w:color w:val="404040"/>
        <w:sz w:val="22"/>
      </w:r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sz="4" w:space="0"/>
          <w:bottom w:val="single" w:color="000000" w:themeColor="text1"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Liberation Sans" w:hAnsi="Liberation Sans"/>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Liberation Sans" w:hAnsi="Liberation Sans"/>
        <w:color w:val="404040"/>
        <w:sz w:val="22"/>
      </w:rPr>
      <w:tcPr>
        <w:shd w:val="clear" w:color="ffffff" w:themeColor="accent1" w:themeTint="32" w:fill="dce6f1" w:themeFill="accent1" w:themeFillTint="32"/>
      </w:tcPr>
    </w:tblStylePr>
    <w:tblStylePr w:type="band1Vert">
      <w:rPr>
        <w:rFonts w:ascii="Liberation Sans" w:hAnsi="Liberation Sans"/>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Liberation Sans" w:hAnsi="Liberation Sans"/>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Liberation Sans" w:hAnsi="Liberation Sans"/>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Liberation Sans" w:hAnsi="Liberation Sans"/>
        <w:b/>
        <w:color w:val="ffffff"/>
        <w:sz w:val="22"/>
      </w:rPr>
      <w:tcPr>
        <w:shd w:val="clear" w:color="ffffff" w:themeColor="text1" w:fill="000000" w:themeFill="text1"/>
      </w:tcPr>
    </w:tblStylePr>
    <w:tblStylePr w:type="firstRow">
      <w:rPr>
        <w:rFonts w:ascii="Liberation Sans" w:hAnsi="Liberation Sans"/>
        <w:b/>
        <w:color w:val="ffffff"/>
        <w:sz w:val="22"/>
      </w:rPr>
      <w:tcPr>
        <w:shd w:val="clear" w:color="ffffff" w:themeColor="text1" w:fill="000000" w:themeFill="text1"/>
      </w:tcPr>
    </w:tblStylePr>
    <w:tblStylePr w:type="lastCol">
      <w:rPr>
        <w:rFonts w:ascii="Liberation Sans" w:hAnsi="Liberation Sans"/>
        <w:b/>
        <w:color w:val="ffffff"/>
        <w:sz w:val="22"/>
      </w:rPr>
      <w:tcPr>
        <w:shd w:val="clear" w:color="ffffff" w:themeColor="text1" w:fill="000000" w:themeFill="text1"/>
      </w:tcPr>
    </w:tblStylePr>
    <w:tblStylePr w:type="lastRow">
      <w:rPr>
        <w:rFonts w:ascii="Liberation Sans" w:hAnsi="Liberation Sans"/>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Liberation Sans" w:hAnsi="Liberation Sans"/>
        <w:b/>
        <w:color w:val="ffffff"/>
        <w:sz w:val="22"/>
      </w:rPr>
      <w:tcPr>
        <w:shd w:val="clear" w:color="ffffff" w:themeColor="accent1" w:fill="4f81bd" w:themeFill="accent1"/>
      </w:tcPr>
    </w:tblStylePr>
    <w:tblStylePr w:type="firstRow">
      <w:rPr>
        <w:rFonts w:ascii="Liberation Sans" w:hAnsi="Liberation Sans"/>
        <w:b/>
        <w:color w:val="ffffff"/>
        <w:sz w:val="22"/>
      </w:rPr>
      <w:tcPr>
        <w:shd w:val="clear" w:color="ffffff" w:themeColor="accent1" w:fill="4f81bd" w:themeFill="accent1"/>
      </w:tcPr>
    </w:tblStylePr>
    <w:tblStylePr w:type="lastCol">
      <w:rPr>
        <w:rFonts w:ascii="Liberation Sans" w:hAnsi="Liberation Sans"/>
        <w:b/>
        <w:color w:val="ffffff"/>
        <w:sz w:val="22"/>
      </w:rPr>
      <w:tcPr>
        <w:shd w:val="clear" w:color="ffffff" w:themeColor="accent1" w:fill="4f81bd" w:themeFill="accent1"/>
      </w:tcPr>
    </w:tblStylePr>
    <w:tblStylePr w:type="lastRow">
      <w:rPr>
        <w:rFonts w:ascii="Liberation Sans" w:hAnsi="Liberation Sans"/>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Liberation Sans" w:hAnsi="Liberation Sans"/>
        <w:b/>
        <w:color w:val="ffffff"/>
        <w:sz w:val="22"/>
      </w:rPr>
      <w:tcPr>
        <w:shd w:val="clear" w:color="ffffff" w:themeColor="accent2" w:fill="c0504d" w:themeFill="accent2"/>
      </w:tcPr>
    </w:tblStylePr>
    <w:tblStylePr w:type="firstRow">
      <w:rPr>
        <w:rFonts w:ascii="Liberation Sans" w:hAnsi="Liberation Sans"/>
        <w:b/>
        <w:color w:val="ffffff"/>
        <w:sz w:val="22"/>
      </w:rPr>
      <w:tcPr>
        <w:shd w:val="clear" w:color="ffffff" w:themeColor="accent2" w:fill="c0504d" w:themeFill="accent2"/>
      </w:tcPr>
    </w:tblStylePr>
    <w:tblStylePr w:type="lastCol">
      <w:rPr>
        <w:rFonts w:ascii="Liberation Sans" w:hAnsi="Liberation Sans"/>
        <w:b/>
        <w:color w:val="ffffff"/>
        <w:sz w:val="22"/>
      </w:rPr>
      <w:tcPr>
        <w:shd w:val="clear" w:color="ffffff" w:themeColor="accent2" w:fill="c0504d" w:themeFill="accent2"/>
      </w:tcPr>
    </w:tblStylePr>
    <w:tblStylePr w:type="lastRow">
      <w:rPr>
        <w:rFonts w:ascii="Liberation Sans" w:hAnsi="Liberation Sans"/>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Liberation Sans" w:hAnsi="Liberation Sans"/>
        <w:b/>
        <w:color w:val="ffffff"/>
        <w:sz w:val="22"/>
      </w:rPr>
      <w:tcPr>
        <w:shd w:val="clear" w:color="ffffff" w:themeColor="accent3" w:fill="9bbb59" w:themeFill="accent3"/>
      </w:tcPr>
    </w:tblStylePr>
    <w:tblStylePr w:type="firstRow">
      <w:rPr>
        <w:rFonts w:ascii="Liberation Sans" w:hAnsi="Liberation Sans"/>
        <w:b/>
        <w:color w:val="ffffff"/>
        <w:sz w:val="22"/>
      </w:rPr>
      <w:tcPr>
        <w:shd w:val="clear" w:color="ffffff" w:themeColor="accent3" w:fill="9bbb59" w:themeFill="accent3"/>
      </w:tcPr>
    </w:tblStylePr>
    <w:tblStylePr w:type="lastCol">
      <w:rPr>
        <w:rFonts w:ascii="Liberation Sans" w:hAnsi="Liberation Sans"/>
        <w:b/>
        <w:color w:val="ffffff"/>
        <w:sz w:val="22"/>
      </w:rPr>
      <w:tcPr>
        <w:shd w:val="clear" w:color="ffffff" w:themeColor="accent3" w:fill="9bbb59" w:themeFill="accent3"/>
      </w:tcPr>
    </w:tblStylePr>
    <w:tblStylePr w:type="lastRow">
      <w:rPr>
        <w:rFonts w:ascii="Liberation Sans" w:hAnsi="Liberation Sans"/>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Liberation Sans" w:hAnsi="Liberation Sans"/>
        <w:b/>
        <w:color w:val="ffffff"/>
        <w:sz w:val="22"/>
      </w:rPr>
      <w:tcPr>
        <w:shd w:val="clear" w:color="ffffff" w:themeColor="accent4" w:fill="8064a2" w:themeFill="accent4"/>
      </w:tcPr>
    </w:tblStylePr>
    <w:tblStylePr w:type="firstRow">
      <w:rPr>
        <w:rFonts w:ascii="Liberation Sans" w:hAnsi="Liberation Sans"/>
        <w:b/>
        <w:color w:val="ffffff"/>
        <w:sz w:val="22"/>
      </w:rPr>
      <w:tcPr>
        <w:shd w:val="clear" w:color="ffffff" w:themeColor="accent4" w:fill="8064a2" w:themeFill="accent4"/>
      </w:tcPr>
    </w:tblStylePr>
    <w:tblStylePr w:type="lastCol">
      <w:rPr>
        <w:rFonts w:ascii="Liberation Sans" w:hAnsi="Liberation Sans"/>
        <w:b/>
        <w:color w:val="ffffff"/>
        <w:sz w:val="22"/>
      </w:rPr>
      <w:tcPr>
        <w:shd w:val="clear" w:color="ffffff" w:themeColor="accent4" w:fill="8064a2" w:themeFill="accent4"/>
      </w:tcPr>
    </w:tblStylePr>
    <w:tblStylePr w:type="lastRow">
      <w:rPr>
        <w:rFonts w:ascii="Liberation Sans" w:hAnsi="Liberation Sans"/>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Liberation Sans" w:hAnsi="Liberation Sans"/>
        <w:b/>
        <w:color w:val="ffffff"/>
        <w:sz w:val="22"/>
      </w:rPr>
      <w:tcPr>
        <w:shd w:val="clear" w:color="ffffff" w:themeColor="accent5" w:fill="4bacc6" w:themeFill="accent5"/>
      </w:tcPr>
    </w:tblStylePr>
    <w:tblStylePr w:type="firstRow">
      <w:rPr>
        <w:rFonts w:ascii="Liberation Sans" w:hAnsi="Liberation Sans"/>
        <w:b/>
        <w:color w:val="ffffff"/>
        <w:sz w:val="22"/>
      </w:rPr>
      <w:tcPr>
        <w:shd w:val="clear" w:color="ffffff" w:themeColor="accent5" w:fill="4bacc6" w:themeFill="accent5"/>
      </w:tcPr>
    </w:tblStylePr>
    <w:tblStylePr w:type="lastCol">
      <w:rPr>
        <w:rFonts w:ascii="Liberation Sans" w:hAnsi="Liberation Sans"/>
        <w:b/>
        <w:color w:val="ffffff"/>
        <w:sz w:val="22"/>
      </w:rPr>
      <w:tcPr>
        <w:shd w:val="clear" w:color="ffffff" w:themeColor="accent5" w:fill="4bacc6" w:themeFill="accent5"/>
      </w:tcPr>
    </w:tblStylePr>
    <w:tblStylePr w:type="lastRow">
      <w:rPr>
        <w:rFonts w:ascii="Liberation Sans" w:hAnsi="Liberation Sans"/>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Liberation Sans" w:hAnsi="Liberation Sans"/>
        <w:b/>
        <w:color w:val="ffffff"/>
        <w:sz w:val="22"/>
      </w:rPr>
      <w:tcPr>
        <w:shd w:val="clear" w:color="ffffff" w:themeColor="accent6" w:fill="f79646" w:themeFill="accent6"/>
      </w:tcPr>
    </w:tblStylePr>
    <w:tblStylePr w:type="firstRow">
      <w:rPr>
        <w:rFonts w:ascii="Liberation Sans" w:hAnsi="Liberation Sans"/>
        <w:b/>
        <w:color w:val="ffffff"/>
        <w:sz w:val="22"/>
      </w:rPr>
      <w:tcPr>
        <w:shd w:val="clear" w:color="ffffff" w:themeColor="accent6" w:fill="f79646" w:themeFill="accent6"/>
      </w:tcPr>
    </w:tblStylePr>
    <w:tblStylePr w:type="lastCol">
      <w:rPr>
        <w:rFonts w:ascii="Liberation Sans" w:hAnsi="Liberation Sans"/>
        <w:b/>
        <w:color w:val="ffffff"/>
        <w:sz w:val="22"/>
      </w:rPr>
      <w:tcPr>
        <w:shd w:val="clear" w:color="ffffff" w:themeColor="accent6" w:fill="f79646" w:themeFill="accent6"/>
      </w:tcPr>
    </w:tblStylePr>
    <w:tblStylePr w:type="lastRow">
      <w:rPr>
        <w:rFonts w:ascii="Liberation Sans" w:hAnsi="Liberation Sans"/>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Liberation Sans" w:hAnsi="Liberation Sans"/>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Liberation Sans" w:hAnsi="Liberation Sans"/>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Liberation Sans" w:hAnsi="Liberation Sans"/>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Liberation Sans" w:hAnsi="Liberation Sans"/>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Liberation Sans" w:hAnsi="Liberation Sans"/>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Liberation Sans" w:hAnsi="Liberation Sans"/>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3e70a3" w:themeColor="accent1" w:themeTint="80" w:themeShade="95"/>
        <w:sz w:val="22"/>
      </w:rPr>
    </w:tblStylePr>
    <w:tblStylePr w:type="firstCol">
      <w:rPr>
        <w:rFonts w:ascii="Liberation Sans" w:hAnsi="Liberation Sans"/>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Liberation Sans" w:hAnsi="Liberation Sans"/>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Liberation Sans" w:hAnsi="Liberation Sans"/>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Liberation Sans" w:hAnsi="Liberation Sans"/>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5c702f" w:themeColor="accent3" w:themeTint="FE" w:themeShade="95"/>
        <w:sz w:val="22"/>
      </w:rPr>
    </w:tblStylePr>
    <w:tblStylePr w:type="firstCol">
      <w:rPr>
        <w:rFonts w:ascii="Liberation Sans" w:hAnsi="Liberation Sans"/>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Liberation Sans" w:hAnsi="Liberation Sans"/>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Liberation Sans" w:hAnsi="Liberation Sans"/>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Liberation Sans" w:hAnsi="Liberation Sans"/>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266777" w:themeColor="accent5" w:themeShade="95"/>
        <w:sz w:val="22"/>
      </w:rPr>
    </w:tblStylePr>
    <w:tblStylePr w:type="firstCol">
      <w:rPr>
        <w:rFonts w:ascii="Liberation Sans" w:hAnsi="Liberation Sans"/>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Liberation Sans" w:hAnsi="Liberation Sans"/>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Liberation Sans" w:hAnsi="Liberation Sans"/>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b05307" w:themeColor="accent6" w:themeShade="95"/>
        <w:sz w:val="22"/>
      </w:rPr>
    </w:tblStylePr>
    <w:tblStylePr w:type="firstCol">
      <w:rPr>
        <w:rFonts w:ascii="Liberation Sans" w:hAnsi="Liberation Sans"/>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Liberation Sans" w:hAnsi="Liberation Sans"/>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Liberation Sans" w:hAnsi="Liberation Sans"/>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Liberation Sans" w:hAnsi="Liberation Sans"/>
        <w:color w:val="404040"/>
        <w:sz w:val="22"/>
      </w:rPr>
      <w:tcPr>
        <w:tcBorders>
          <w:top w:val="single" w:color="000000" w:themeColor="text1" w:sz="4" w:space="0"/>
          <w:bottom w:val="single" w:color="000000" w:themeColor="text1" w:sz="4" w:space="0"/>
        </w:tcBorders>
      </w:tcPr>
    </w:tblStylePr>
    <w:tblStylePr w:type="band1Vert">
      <w:rPr>
        <w:rFonts w:ascii="Liberation Sans" w:hAnsi="Liberation Sans"/>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Liberation Sans" w:hAnsi="Liberation Sans"/>
        <w:color w:val="404040"/>
        <w:sz w:val="22"/>
      </w:rPr>
      <w:tcPr>
        <w:tcBorders>
          <w:top w:val="single" w:color="000000" w:themeColor="accent1" w:sz="4" w:space="0"/>
          <w:bottom w:val="single" w:color="000000" w:themeColor="accent1" w:sz="4" w:space="0"/>
        </w:tcBorders>
      </w:tcPr>
    </w:tblStylePr>
    <w:tblStylePr w:type="band1Vert">
      <w:rPr>
        <w:rFonts w:ascii="Liberation Sans" w:hAnsi="Liberation Sans"/>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Liberation Sans" w:hAnsi="Liberation Sans"/>
        <w:color w:val="404040"/>
        <w:sz w:val="22"/>
      </w:rPr>
      <w:tcPr>
        <w:tcBorders>
          <w:top w:val="single" w:color="000000" w:themeColor="accent2" w:themeTint="97" w:sz="4" w:space="0"/>
          <w:bottom w:val="single" w:color="000000" w:themeColor="accent2" w:themeTint="97" w:sz="4" w:space="0"/>
        </w:tcBorders>
      </w:tcPr>
    </w:tblStylePr>
    <w:tblStylePr w:type="band1Vert">
      <w:rPr>
        <w:rFonts w:ascii="Liberation Sans" w:hAnsi="Liberation Sans"/>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Liberation Sans" w:hAnsi="Liberation Sans"/>
        <w:color w:val="404040"/>
        <w:sz w:val="22"/>
      </w:rPr>
      <w:tcPr>
        <w:tcBorders>
          <w:top w:val="single" w:color="000000" w:themeColor="accent3" w:themeTint="98" w:sz="4" w:space="0"/>
          <w:bottom w:val="single" w:color="000000" w:themeColor="accent3" w:themeTint="98" w:sz="4" w:space="0"/>
        </w:tcBorders>
      </w:tcPr>
    </w:tblStylePr>
    <w:tblStylePr w:type="band1Vert">
      <w:rPr>
        <w:rFonts w:ascii="Liberation Sans" w:hAnsi="Liberation Sans"/>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Liberation Sans" w:hAnsi="Liberation Sans"/>
        <w:color w:val="404040"/>
        <w:sz w:val="22"/>
      </w:rPr>
      <w:tcPr>
        <w:tcBorders>
          <w:top w:val="single" w:color="000000" w:themeColor="accent4" w:themeTint="9A" w:sz="4" w:space="0"/>
          <w:bottom w:val="single" w:color="000000" w:themeColor="accent4" w:themeTint="9A" w:sz="4" w:space="0"/>
        </w:tcBorders>
      </w:tcPr>
    </w:tblStylePr>
    <w:tblStylePr w:type="band1Vert">
      <w:rPr>
        <w:rFonts w:ascii="Liberation Sans" w:hAnsi="Liberation Sans"/>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Liberation Sans" w:hAnsi="Liberation Sans"/>
        <w:color w:val="404040"/>
        <w:sz w:val="22"/>
      </w:rPr>
      <w:tcPr>
        <w:tcBorders>
          <w:top w:val="single" w:color="000000" w:themeColor="accent5" w:themeTint="9A" w:sz="4" w:space="0"/>
          <w:bottom w:val="single" w:color="000000" w:themeColor="accent5" w:themeTint="9A" w:sz="4" w:space="0"/>
        </w:tcBorders>
      </w:tcPr>
    </w:tblStylePr>
    <w:tblStylePr w:type="band1Vert">
      <w:rPr>
        <w:rFonts w:ascii="Liberation Sans" w:hAnsi="Liberation Sans"/>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Liberation Sans" w:hAnsi="Liberation Sans"/>
        <w:color w:val="404040"/>
        <w:sz w:val="22"/>
      </w:rPr>
      <w:tcPr>
        <w:tcBorders>
          <w:top w:val="single" w:color="000000" w:themeColor="accent6" w:themeTint="98" w:sz="4" w:space="0"/>
          <w:bottom w:val="single" w:color="000000" w:themeColor="accent6" w:themeTint="98" w:sz="4" w:space="0"/>
        </w:tcBorders>
      </w:tcPr>
    </w:tblStylePr>
    <w:tblStylePr w:type="band1Vert">
      <w:rPr>
        <w:rFonts w:ascii="Liberation Sans" w:hAnsi="Liberation Sans"/>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Liberation Sans" w:hAnsi="Liberation Sans"/>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Liberation Sans" w:hAnsi="Liberation Sans"/>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Liberation Sans" w:hAnsi="Liberation Sans"/>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1"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Liberation Sans" w:hAnsi="Liberation Sans"/>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Liberation Sans" w:hAnsi="Liberation Sans"/>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Liberation Sans" w:hAnsi="Liberation Sans"/>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Liberation Sans" w:hAnsi="Liberation Sans"/>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Liberation Sans" w:hAnsi="Liberation Sans"/>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Liberation Sans" w:hAnsi="Liberation Sans"/>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Liberation Sans" w:hAnsi="Liberation Sans"/>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Liberation Sans" w:hAnsi="Liberation Sans"/>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Liberation Sans" w:hAnsi="Liberation Sans"/>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Liberation Sans" w:hAnsi="Liberation Sans"/>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2a4b71" w:themeColor="accent1" w:themeShade="95"/>
        <w:sz w:val="22"/>
      </w:rPr>
    </w:tblStylePr>
    <w:tblStylePr w:type="firstCol">
      <w:rPr>
        <w:rFonts w:ascii="Liberation Sans" w:hAnsi="Liberation Sans"/>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Liberation Sans" w:hAnsi="Liberation Sans"/>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Liberation Sans" w:hAnsi="Liberation Sans"/>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Liberation Sans" w:hAnsi="Liberation Sans"/>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Liberation Sans" w:hAnsi="Liberation Sans"/>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Liberation Sans" w:hAnsi="Liberation Sans"/>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Liberation Sans" w:hAnsi="Liberation Sans"/>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Liberation Sans" w:hAnsi="Liberation Sans"/>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Liberation Sans" w:hAnsi="Liberation Sans"/>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Liberation Sans" w:hAnsi="Liberation Sans"/>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7c983f" w:themeColor="accent3" w:themeTint="98" w:themeShade="95"/>
        <w:sz w:val="22"/>
      </w:rPr>
    </w:tblStylePr>
    <w:tblStylePr w:type="firstCol">
      <w:rPr>
        <w:rFonts w:ascii="Liberation Sans" w:hAnsi="Liberation Sans"/>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Liberation Sans" w:hAnsi="Liberation Sans"/>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Liberation Sans" w:hAnsi="Liberation Sans"/>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Liberation Sans" w:hAnsi="Liberation Sans"/>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Liberation Sans" w:hAnsi="Liberation Sans"/>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Liberation Sans" w:hAnsi="Liberation Sans"/>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Liberation Sans" w:hAnsi="Liberation Sans"/>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Liberation Sans" w:hAnsi="Liberation Sans"/>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Liberation Sans" w:hAnsi="Liberation Sans"/>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Liberation Sans" w:hAnsi="Liberation Sans"/>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338aa0" w:themeColor="accent5" w:themeTint="9A" w:themeShade="95"/>
        <w:sz w:val="22"/>
      </w:rPr>
    </w:tblStylePr>
    <w:tblStylePr w:type="firstCol">
      <w:rPr>
        <w:rFonts w:ascii="Liberation Sans" w:hAnsi="Liberation Sans"/>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Liberation Sans" w:hAnsi="Liberation Sans"/>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Liberation Sans" w:hAnsi="Liberation Sans"/>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Liberation Sans" w:hAnsi="Liberation Sans"/>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Liberation Sans" w:hAnsi="Liberation Sans"/>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Liberation Sans" w:hAnsi="Liberation Sans"/>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d9680c" w:themeColor="accent6" w:themeTint="98" w:themeShade="95"/>
        <w:sz w:val="22"/>
      </w:rPr>
    </w:tblStylePr>
    <w:tblStylePr w:type="firstCol">
      <w:rPr>
        <w:rFonts w:ascii="Liberation Sans" w:hAnsi="Liberation Sans"/>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Liberation Sans" w:hAnsi="Liberation Sans"/>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Liberation Sans" w:hAnsi="Liberation Sans"/>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Liberation Sans" w:hAnsi="Liberation Sans"/>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Liberation Sans" w:hAnsi="Liberation Sans"/>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Liberation Sans" w:hAnsi="Liberation Sans"/>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text1" w:themeTint="80" w:sz="12" w:space="0"/>
        </w:tcBorders>
      </w:tcPr>
    </w:tblStylePr>
    <w:tblStylePr w:type="lastCol">
      <w:rPr>
        <w:rFonts w:ascii="Liberation Sans" w:hAnsi="Liberation Sans"/>
        <w:color w:val="404040"/>
        <w:sz w:val="22"/>
      </w:rPr>
      <w:tcPr>
        <w:tcBorders>
          <w:left w:val="single" w:color="000000" w:themeColor="text1" w:themeTint="80" w:sz="12" w:space="0"/>
        </w:tcBorders>
      </w:tcPr>
    </w:tblStylePr>
    <w:tblStylePr w:type="lastRow">
      <w:rPr>
        <w:rFonts w:ascii="Liberation Sans" w:hAnsi="Liberation Sans"/>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1" w:sz="12" w:space="0"/>
        </w:tcBorders>
      </w:tcPr>
    </w:tblStylePr>
    <w:tblStylePr w:type="lastCol">
      <w:rPr>
        <w:rFonts w:ascii="Liberation Sans" w:hAnsi="Liberation Sans"/>
        <w:color w:val="404040"/>
        <w:sz w:val="22"/>
      </w:rPr>
      <w:tcPr>
        <w:tcBorders>
          <w:left w:val="single" w:color="000000" w:themeColor="accent1" w:sz="12" w:space="0"/>
        </w:tcBorders>
      </w:tcPr>
    </w:tblStylePr>
    <w:tblStylePr w:type="lastRow">
      <w:rPr>
        <w:rFonts w:ascii="Liberation Sans" w:hAnsi="Liberation Sans"/>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2" w:themeTint="97" w:sz="12" w:space="0"/>
        </w:tcBorders>
      </w:tcPr>
    </w:tblStylePr>
    <w:tblStylePr w:type="lastCol">
      <w:rPr>
        <w:rFonts w:ascii="Liberation Sans" w:hAnsi="Liberation Sans"/>
        <w:color w:val="404040"/>
        <w:sz w:val="22"/>
      </w:rPr>
      <w:tcPr>
        <w:tcBorders>
          <w:left w:val="single" w:color="000000" w:themeColor="accent2" w:themeTint="97" w:sz="12" w:space="0"/>
        </w:tcBorders>
      </w:tcPr>
    </w:tblStylePr>
    <w:tblStylePr w:type="lastRow">
      <w:rPr>
        <w:rFonts w:ascii="Liberation Sans" w:hAnsi="Liberation Sans"/>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3" w:themeTint="98" w:sz="12" w:space="0"/>
        </w:tcBorders>
      </w:tcPr>
    </w:tblStylePr>
    <w:tblStylePr w:type="lastCol">
      <w:rPr>
        <w:rFonts w:ascii="Liberation Sans" w:hAnsi="Liberation Sans"/>
        <w:color w:val="404040"/>
        <w:sz w:val="22"/>
      </w:rPr>
      <w:tcPr>
        <w:tcBorders>
          <w:left w:val="single" w:color="000000" w:themeColor="accent3" w:themeTint="98" w:sz="12" w:space="0"/>
        </w:tcBorders>
      </w:tcPr>
    </w:tblStylePr>
    <w:tblStylePr w:type="lastRow">
      <w:rPr>
        <w:rFonts w:ascii="Liberation Sans" w:hAnsi="Liberation Sans"/>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4" w:themeTint="9A" w:sz="12" w:space="0"/>
        </w:tcBorders>
      </w:tcPr>
    </w:tblStylePr>
    <w:tblStylePr w:type="lastCol">
      <w:rPr>
        <w:rFonts w:ascii="Liberation Sans" w:hAnsi="Liberation Sans"/>
        <w:color w:val="404040"/>
        <w:sz w:val="22"/>
      </w:rPr>
      <w:tcPr>
        <w:tcBorders>
          <w:left w:val="single" w:color="000000" w:themeColor="accent4" w:themeTint="9A" w:sz="12" w:space="0"/>
        </w:tcBorders>
      </w:tcPr>
    </w:tblStylePr>
    <w:tblStylePr w:type="lastRow">
      <w:rPr>
        <w:rFonts w:ascii="Liberation Sans" w:hAnsi="Liberation Sans"/>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5" w:themeTint="9A" w:sz="12" w:space="0"/>
        </w:tcBorders>
      </w:tcPr>
    </w:tblStylePr>
    <w:tblStylePr w:type="lastCol">
      <w:rPr>
        <w:rFonts w:ascii="Liberation Sans" w:hAnsi="Liberation Sans"/>
        <w:color w:val="404040"/>
        <w:sz w:val="22"/>
      </w:rPr>
      <w:tcPr>
        <w:tcBorders>
          <w:left w:val="single" w:color="000000" w:themeColor="accent5" w:themeTint="9A" w:sz="12" w:space="0"/>
        </w:tcBorders>
      </w:tcPr>
    </w:tblStylePr>
    <w:tblStylePr w:type="lastRow">
      <w:rPr>
        <w:rFonts w:ascii="Liberation Sans" w:hAnsi="Liberation Sans"/>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6" w:themeTint="98" w:sz="12" w:space="0"/>
        </w:tcBorders>
      </w:tcPr>
    </w:tblStylePr>
    <w:tblStylePr w:type="lastCol">
      <w:rPr>
        <w:rFonts w:ascii="Liberation Sans" w:hAnsi="Liberation Sans"/>
        <w:color w:val="404040"/>
        <w:sz w:val="22"/>
      </w:rPr>
      <w:tcPr>
        <w:tcBorders>
          <w:left w:val="single" w:color="000000" w:themeColor="accent6" w:themeTint="98" w:sz="12" w:space="0"/>
        </w:tcBorders>
      </w:tcPr>
    </w:tblStylePr>
    <w:tblStylePr w:type="lastRow">
      <w:rPr>
        <w:rFonts w:ascii="Liberation Sans" w:hAnsi="Liberation Sans"/>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rPr>
      <w:lang w:val="ru-RU" w:eastAsia="ru-RU" w:bidi="ar-SA"/>
    </w:rPr>
  </w:style>
  <w:style w:type="character" w:styleId="870">
    <w:name w:val="Основной шрифт абзаца"/>
    <w:next w:val="870"/>
    <w:link w:val="869"/>
    <w:uiPriority w:val="1"/>
    <w:semiHidden/>
    <w:unhideWhenUsed/>
  </w:style>
  <w:style w:type="table" w:styleId="871">
    <w:name w:val="Обычная таблица"/>
    <w:next w:val="871"/>
    <w:link w:val="869"/>
    <w:uiPriority w:val="99"/>
    <w:semiHidden/>
    <w:unhideWhenUsed/>
    <w:tblPr/>
  </w:style>
  <w:style w:type="numbering" w:styleId="872">
    <w:name w:val="Нет списка"/>
    <w:next w:val="872"/>
    <w:link w:val="869"/>
    <w:uiPriority w:val="99"/>
    <w:semiHidden/>
    <w:unhideWhenUsed/>
  </w:style>
  <w:style w:type="paragraph" w:styleId="873">
    <w:name w:val="ConsPlusNonformat"/>
    <w:next w:val="873"/>
    <w:link w:val="869"/>
    <w:pPr>
      <w:widowControl w:val="off"/>
    </w:pPr>
    <w:rPr>
      <w:rFonts w:ascii="Courier New" w:hAnsi="Courier New" w:cs="Courier New"/>
      <w:lang w:val="ru-RU" w:eastAsia="ru-RU" w:bidi="ar-SA"/>
    </w:rPr>
  </w:style>
  <w:style w:type="paragraph" w:styleId="874">
    <w:name w:val="Текст выноски"/>
    <w:basedOn w:val="869"/>
    <w:next w:val="874"/>
    <w:link w:val="869"/>
    <w:semiHidden/>
    <w:rPr>
      <w:rFonts w:ascii="Tahoma" w:hAnsi="Tahoma" w:cs="Tahoma"/>
      <w:sz w:val="16"/>
      <w:szCs w:val="16"/>
    </w:rPr>
  </w:style>
  <w:style w:type="paragraph" w:styleId="875">
    <w:name w:val="ConsPlusTitle"/>
    <w:next w:val="875"/>
    <w:link w:val="869"/>
    <w:pPr>
      <w:widowControl w:val="off"/>
    </w:pPr>
    <w:rPr>
      <w:b/>
      <w:bCs/>
      <w:sz w:val="24"/>
      <w:szCs w:val="24"/>
      <w:lang w:val="ru-RU" w:eastAsia="ru-RU" w:bidi="ar-SA"/>
    </w:rPr>
  </w:style>
  <w:style w:type="paragraph" w:styleId="876">
    <w:name w:val="Стандартный HTML"/>
    <w:basedOn w:val="869"/>
    <w:next w:val="876"/>
    <w:link w:val="884"/>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rPr>
  </w:style>
  <w:style w:type="paragraph" w:styleId="877">
    <w:name w:val="ConsPlusCell"/>
    <w:next w:val="877"/>
    <w:link w:val="869"/>
    <w:pPr>
      <w:widowControl w:val="off"/>
    </w:pPr>
    <w:rPr>
      <w:lang w:val="ru-RU" w:eastAsia="ru-RU" w:bidi="ar-SA"/>
    </w:rPr>
  </w:style>
  <w:style w:type="table" w:styleId="878">
    <w:name w:val="Сетка таблицы"/>
    <w:basedOn w:val="871"/>
    <w:next w:val="878"/>
    <w:link w:val="869"/>
    <w:uiPriority w:val="59"/>
    <w:tblPr/>
  </w:style>
  <w:style w:type="paragraph" w:styleId="879">
    <w:name w:val="ConsPlusNormal"/>
    <w:next w:val="879"/>
    <w:link w:val="869"/>
    <w:pPr>
      <w:widowControl w:val="off"/>
    </w:pPr>
    <w:rPr>
      <w:rFonts w:ascii="Calibri" w:hAnsi="Calibri" w:cs="Calibri"/>
      <w:sz w:val="22"/>
      <w:lang w:val="ru-RU" w:eastAsia="ru-RU" w:bidi="ar-SA"/>
    </w:rPr>
  </w:style>
  <w:style w:type="paragraph" w:styleId="880">
    <w:name w:val="Pro-List #1"/>
    <w:basedOn w:val="869"/>
    <w:next w:val="880"/>
    <w:link w:val="881"/>
    <w:qFormat/>
    <w:pPr>
      <w:ind w:left="1134" w:hanging="708"/>
      <w:jc w:val="both"/>
      <w:spacing w:before="180" w:line="288" w:lineRule="auto"/>
      <w:tabs>
        <w:tab w:val="left" w:pos="1134" w:leader="none"/>
      </w:tabs>
    </w:pPr>
    <w:rPr>
      <w:rFonts w:ascii="Georgia" w:hAnsi="Georgia"/>
      <w:szCs w:val="24"/>
    </w:rPr>
  </w:style>
  <w:style w:type="character" w:styleId="881">
    <w:name w:val="Pro-List #1 Знак Знак"/>
    <w:next w:val="881"/>
    <w:link w:val="880"/>
    <w:rPr>
      <w:rFonts w:ascii="Georgia" w:hAnsi="Georgia"/>
      <w:szCs w:val="24"/>
    </w:rPr>
  </w:style>
  <w:style w:type="paragraph" w:styleId="882">
    <w:name w:val="Pro-Gramma"/>
    <w:basedOn w:val="869"/>
    <w:next w:val="882"/>
    <w:link w:val="883"/>
    <w:qFormat/>
    <w:pPr>
      <w:ind w:left="1134"/>
      <w:jc w:val="both"/>
      <w:spacing w:before="120" w:line="288" w:lineRule="auto"/>
    </w:pPr>
    <w:rPr>
      <w:rFonts w:ascii="Georgia" w:hAnsi="Georgia"/>
      <w:szCs w:val="24"/>
    </w:rPr>
  </w:style>
  <w:style w:type="character" w:styleId="883">
    <w:name w:val="Pro-Gramma Знак"/>
    <w:next w:val="883"/>
    <w:link w:val="882"/>
    <w:rPr>
      <w:rFonts w:ascii="Georgia" w:hAnsi="Georgia"/>
      <w:szCs w:val="24"/>
    </w:rPr>
  </w:style>
  <w:style w:type="character" w:styleId="884">
    <w:name w:val="Стандартный HTML Знак"/>
    <w:next w:val="884"/>
    <w:link w:val="876"/>
    <w:rPr>
      <w:rFonts w:ascii="Courier New" w:hAnsi="Courier New" w:cs="Courier New"/>
    </w:rPr>
  </w:style>
  <w:style w:type="paragraph" w:styleId="885">
    <w:name w:val="Схема документа"/>
    <w:basedOn w:val="869"/>
    <w:next w:val="885"/>
    <w:link w:val="886"/>
    <w:uiPriority w:val="99"/>
    <w:semiHidden/>
    <w:unhideWhenUsed/>
    <w:rPr>
      <w:rFonts w:ascii="Tahoma" w:hAnsi="Tahoma" w:cs="Tahoma"/>
      <w:sz w:val="16"/>
      <w:szCs w:val="16"/>
    </w:rPr>
  </w:style>
  <w:style w:type="character" w:styleId="886">
    <w:name w:val="Схема документа Знак"/>
    <w:next w:val="886"/>
    <w:link w:val="885"/>
    <w:uiPriority w:val="99"/>
    <w:semiHidden/>
    <w:rPr>
      <w:rFonts w:ascii="Tahoma" w:hAnsi="Tahoma" w:cs="Tahoma"/>
      <w:sz w:val="16"/>
      <w:szCs w:val="16"/>
    </w:rPr>
  </w:style>
  <w:style w:type="character" w:styleId="887">
    <w:name w:val="Знак примечания"/>
    <w:next w:val="887"/>
    <w:link w:val="869"/>
    <w:uiPriority w:val="99"/>
    <w:semiHidden/>
    <w:unhideWhenUsed/>
    <w:rPr>
      <w:sz w:val="16"/>
      <w:szCs w:val="16"/>
    </w:rPr>
  </w:style>
  <w:style w:type="paragraph" w:styleId="888">
    <w:name w:val="Текст примечания"/>
    <w:basedOn w:val="869"/>
    <w:next w:val="888"/>
    <w:link w:val="889"/>
    <w:uiPriority w:val="99"/>
    <w:semiHidden/>
    <w:unhideWhenUsed/>
  </w:style>
  <w:style w:type="character" w:styleId="889">
    <w:name w:val="Текст примечания Знак"/>
    <w:basedOn w:val="870"/>
    <w:next w:val="889"/>
    <w:link w:val="888"/>
    <w:uiPriority w:val="99"/>
    <w:semiHidden/>
  </w:style>
  <w:style w:type="paragraph" w:styleId="890">
    <w:name w:val="Тема примечания"/>
    <w:basedOn w:val="888"/>
    <w:next w:val="888"/>
    <w:link w:val="891"/>
    <w:uiPriority w:val="99"/>
    <w:semiHidden/>
    <w:unhideWhenUsed/>
    <w:rPr>
      <w:b/>
      <w:bCs/>
    </w:rPr>
  </w:style>
  <w:style w:type="character" w:styleId="891">
    <w:name w:val="Тема примечания Знак"/>
    <w:next w:val="891"/>
    <w:link w:val="890"/>
    <w:uiPriority w:val="99"/>
    <w:semiHidden/>
    <w:rPr>
      <w:b/>
      <w:bCs/>
    </w:rPr>
  </w:style>
  <w:style w:type="table" w:styleId="892">
    <w:name w:val="Pro-Table"/>
    <w:basedOn w:val="871"/>
    <w:next w:val="892"/>
    <w:link w:val="869"/>
    <w:pPr>
      <w:spacing w:before="60" w:after="60"/>
    </w:pPr>
    <w:rPr>
      <w:rFonts w:ascii="Cambria" w:hAnsi="Cambria"/>
      <w:sz w:val="16"/>
    </w:rPr>
    <w:tblPr/>
  </w:style>
  <w:style w:type="paragraph" w:styleId="893">
    <w:name w:val="Абзац списка"/>
    <w:basedOn w:val="869"/>
    <w:next w:val="893"/>
    <w:link w:val="869"/>
    <w:uiPriority w:val="34"/>
    <w:qFormat/>
    <w:pPr>
      <w:contextualSpacing/>
      <w:ind w:left="720"/>
    </w:pPr>
  </w:style>
  <w:style w:type="character" w:styleId="894" w:default="1">
    <w:name w:val="Default Paragraph Font"/>
    <w:uiPriority w:val="1"/>
    <w:semiHidden/>
    <w:unhideWhenUsed/>
  </w:style>
  <w:style w:type="numbering" w:styleId="895" w:default="1">
    <w:name w:val="No List"/>
    <w:uiPriority w:val="99"/>
    <w:semiHidden/>
    <w:unhideWhenUsed/>
  </w:style>
  <w:style w:type="table" w:styleId="8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Liberation Sans"/>
        <a:ea typeface="Liberation Sans"/>
        <a:cs typeface="Liberation Sans"/>
      </a:majorFont>
      <a:minorFont>
        <a:latin typeface="Liberation Sans"/>
        <a:ea typeface="Liberation Sans"/>
        <a:cs typeface="Liberation Sans"/>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Р7-Офис/2026.1.2.1942</Application>
  <Company>ЭИ</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Работник</dc:creator>
  <cp:lastModifiedBy>av_mishneva</cp:lastModifiedBy>
  <cp:revision>16</cp:revision>
  <dcterms:created xsi:type="dcterms:W3CDTF">2026-05-12T13:29:00Z</dcterms:created>
  <dcterms:modified xsi:type="dcterms:W3CDTF">2026-09-01T10:28:33Z</dcterms:modified>
  <cp:version>1048576</cp:version>
</cp:coreProperties>
</file>